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81B" w:rsidRDefault="0015081B"/>
    <w:p w:rsidR="00BE6FEF" w:rsidRPr="00904A14" w:rsidRDefault="00BE6FEF" w:rsidP="00BE6FEF">
      <w:pPr>
        <w:rPr>
          <w:rFonts w:eastAsia="標楷體"/>
          <w:szCs w:val="24"/>
        </w:rPr>
      </w:pPr>
    </w:p>
    <w:p w:rsidR="00BE6FEF" w:rsidRPr="00904A14" w:rsidRDefault="00BE6FEF" w:rsidP="00BE6FEF">
      <w:pPr>
        <w:rPr>
          <w:rFonts w:eastAsia="標楷體"/>
          <w:szCs w:val="24"/>
        </w:rPr>
      </w:pPr>
    </w:p>
    <w:tbl>
      <w:tblPr>
        <w:tblW w:w="10065" w:type="dxa"/>
        <w:tblInd w:w="-8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60"/>
        <w:gridCol w:w="1727"/>
        <w:gridCol w:w="1959"/>
        <w:gridCol w:w="4819"/>
      </w:tblGrid>
      <w:tr w:rsidR="00BE6FEF" w:rsidRPr="008A1E3F" w:rsidTr="00F31F2B">
        <w:trPr>
          <w:trHeight w:val="403"/>
        </w:trPr>
        <w:tc>
          <w:tcPr>
            <w:tcW w:w="10065" w:type="dxa"/>
            <w:gridSpan w:val="4"/>
            <w:tcBorders>
              <w:top w:val="single" w:sz="12" w:space="0" w:color="auto"/>
              <w:left w:val="single" w:sz="12" w:space="0" w:color="auto"/>
              <w:bottom w:val="single" w:sz="4" w:space="0" w:color="auto"/>
              <w:right w:val="single" w:sz="12" w:space="0" w:color="auto"/>
            </w:tcBorders>
          </w:tcPr>
          <w:p w:rsidR="00BE6FEF" w:rsidRPr="008A1E3F" w:rsidRDefault="00BE6FEF" w:rsidP="008D3F84">
            <w:pPr>
              <w:jc w:val="center"/>
              <w:rPr>
                <w:rFonts w:eastAsia="標楷體"/>
                <w:szCs w:val="24"/>
              </w:rPr>
            </w:pPr>
            <w:r w:rsidRPr="008A1E3F">
              <w:rPr>
                <w:rFonts w:eastAsia="標楷體"/>
                <w:szCs w:val="24"/>
              </w:rPr>
              <w:t>修訂歷程</w:t>
            </w:r>
          </w:p>
        </w:tc>
      </w:tr>
      <w:tr w:rsidR="00BE6FEF" w:rsidRPr="008A1E3F" w:rsidTr="00F31F2B">
        <w:trPr>
          <w:trHeight w:val="403"/>
        </w:trPr>
        <w:tc>
          <w:tcPr>
            <w:tcW w:w="1560" w:type="dxa"/>
            <w:tcBorders>
              <w:top w:val="single" w:sz="4" w:space="0" w:color="auto"/>
              <w:left w:val="single" w:sz="12" w:space="0" w:color="auto"/>
              <w:bottom w:val="single" w:sz="12" w:space="0" w:color="auto"/>
            </w:tcBorders>
          </w:tcPr>
          <w:p w:rsidR="00BE6FEF" w:rsidRPr="008A1E3F" w:rsidRDefault="00BE6FEF" w:rsidP="008D3F84">
            <w:pPr>
              <w:jc w:val="center"/>
              <w:rPr>
                <w:rFonts w:eastAsia="標楷體"/>
                <w:szCs w:val="24"/>
              </w:rPr>
            </w:pPr>
            <w:r w:rsidRPr="008A1E3F">
              <w:rPr>
                <w:rFonts w:eastAsia="標楷體"/>
                <w:szCs w:val="24"/>
              </w:rPr>
              <w:t>版次</w:t>
            </w:r>
          </w:p>
        </w:tc>
        <w:tc>
          <w:tcPr>
            <w:tcW w:w="1727" w:type="dxa"/>
            <w:tcBorders>
              <w:top w:val="single" w:sz="4" w:space="0" w:color="auto"/>
              <w:bottom w:val="single" w:sz="12" w:space="0" w:color="auto"/>
            </w:tcBorders>
          </w:tcPr>
          <w:p w:rsidR="00BE6FEF" w:rsidRPr="008A1E3F" w:rsidRDefault="00BE6FEF" w:rsidP="008D3F84">
            <w:pPr>
              <w:jc w:val="center"/>
              <w:rPr>
                <w:rFonts w:eastAsia="標楷體"/>
                <w:szCs w:val="24"/>
              </w:rPr>
            </w:pPr>
            <w:r w:rsidRPr="008A1E3F">
              <w:rPr>
                <w:rFonts w:eastAsia="標楷體"/>
                <w:szCs w:val="24"/>
              </w:rPr>
              <w:t>制</w:t>
            </w:r>
            <w:r w:rsidRPr="008A1E3F">
              <w:rPr>
                <w:rFonts w:eastAsia="標楷體" w:hint="eastAsia"/>
                <w:szCs w:val="24"/>
              </w:rPr>
              <w:t>訂部門</w:t>
            </w:r>
          </w:p>
        </w:tc>
        <w:tc>
          <w:tcPr>
            <w:tcW w:w="1959" w:type="dxa"/>
            <w:tcBorders>
              <w:top w:val="single" w:sz="4" w:space="0" w:color="auto"/>
              <w:bottom w:val="single" w:sz="12" w:space="0" w:color="auto"/>
            </w:tcBorders>
          </w:tcPr>
          <w:p w:rsidR="00BE6FEF" w:rsidRPr="008A1E3F" w:rsidRDefault="00BE6FEF" w:rsidP="008D3F84">
            <w:pPr>
              <w:jc w:val="center"/>
              <w:rPr>
                <w:rFonts w:eastAsia="標楷體"/>
                <w:szCs w:val="24"/>
              </w:rPr>
            </w:pPr>
            <w:r w:rsidRPr="008A1E3F">
              <w:rPr>
                <w:rFonts w:eastAsia="標楷體"/>
                <w:szCs w:val="24"/>
              </w:rPr>
              <w:t>修訂日期</w:t>
            </w:r>
          </w:p>
        </w:tc>
        <w:tc>
          <w:tcPr>
            <w:tcW w:w="4819" w:type="dxa"/>
            <w:tcBorders>
              <w:top w:val="single" w:sz="4" w:space="0" w:color="auto"/>
              <w:bottom w:val="single" w:sz="12" w:space="0" w:color="auto"/>
              <w:right w:val="single" w:sz="12" w:space="0" w:color="auto"/>
            </w:tcBorders>
          </w:tcPr>
          <w:p w:rsidR="00BE6FEF" w:rsidRPr="008A1E3F" w:rsidRDefault="00BE6FEF" w:rsidP="008D3F84">
            <w:pPr>
              <w:jc w:val="center"/>
              <w:rPr>
                <w:rFonts w:eastAsia="標楷體"/>
                <w:szCs w:val="24"/>
              </w:rPr>
            </w:pPr>
            <w:r w:rsidRPr="008A1E3F">
              <w:rPr>
                <w:rFonts w:eastAsia="標楷體"/>
                <w:szCs w:val="24"/>
              </w:rPr>
              <w:t>變更內容</w:t>
            </w:r>
          </w:p>
        </w:tc>
      </w:tr>
      <w:tr w:rsidR="00BE6FEF" w:rsidRPr="008A1E3F" w:rsidTr="00F31F2B">
        <w:tc>
          <w:tcPr>
            <w:tcW w:w="1560" w:type="dxa"/>
            <w:tcBorders>
              <w:top w:val="single" w:sz="12" w:space="0" w:color="auto"/>
            </w:tcBorders>
          </w:tcPr>
          <w:p w:rsidR="00BE6FEF" w:rsidRPr="008A1E3F" w:rsidRDefault="00BE6FEF" w:rsidP="008D3F84">
            <w:pPr>
              <w:jc w:val="center"/>
              <w:rPr>
                <w:rFonts w:eastAsia="標楷體"/>
                <w:szCs w:val="24"/>
              </w:rPr>
            </w:pPr>
            <w:r w:rsidRPr="008A1E3F">
              <w:rPr>
                <w:rFonts w:eastAsia="標楷體"/>
                <w:szCs w:val="24"/>
              </w:rPr>
              <w:t>Rev-01</w:t>
            </w:r>
          </w:p>
        </w:tc>
        <w:tc>
          <w:tcPr>
            <w:tcW w:w="1727" w:type="dxa"/>
            <w:tcBorders>
              <w:top w:val="single" w:sz="12" w:space="0" w:color="auto"/>
            </w:tcBorders>
          </w:tcPr>
          <w:p w:rsidR="00BE6FEF" w:rsidRPr="008A1E3F" w:rsidRDefault="006F0691" w:rsidP="008D3F84">
            <w:pPr>
              <w:jc w:val="center"/>
              <w:rPr>
                <w:rFonts w:eastAsia="標楷體"/>
                <w:szCs w:val="24"/>
              </w:rPr>
            </w:pPr>
            <w:r>
              <w:rPr>
                <w:rFonts w:eastAsia="標楷體" w:hint="eastAsia"/>
                <w:szCs w:val="24"/>
              </w:rPr>
              <w:t>財</w:t>
            </w:r>
            <w:r w:rsidR="00BE6FEF" w:rsidRPr="008A1E3F">
              <w:rPr>
                <w:rFonts w:eastAsia="標楷體" w:hint="eastAsia"/>
                <w:szCs w:val="24"/>
              </w:rPr>
              <w:t>務單位</w:t>
            </w:r>
          </w:p>
        </w:tc>
        <w:tc>
          <w:tcPr>
            <w:tcW w:w="1959" w:type="dxa"/>
            <w:tcBorders>
              <w:top w:val="single" w:sz="12" w:space="0" w:color="auto"/>
            </w:tcBorders>
          </w:tcPr>
          <w:p w:rsidR="00BE6FEF" w:rsidRPr="008A1E3F" w:rsidRDefault="00AF0251" w:rsidP="008D3F84">
            <w:pPr>
              <w:jc w:val="center"/>
              <w:rPr>
                <w:rFonts w:eastAsia="標楷體"/>
                <w:szCs w:val="24"/>
              </w:rPr>
            </w:pPr>
            <w:r>
              <w:rPr>
                <w:rFonts w:eastAsia="標楷體"/>
                <w:szCs w:val="24"/>
              </w:rPr>
              <w:t>2025</w:t>
            </w:r>
            <w:r>
              <w:rPr>
                <w:rFonts w:eastAsia="標楷體" w:hint="eastAsia"/>
                <w:szCs w:val="24"/>
              </w:rPr>
              <w:t>-</w:t>
            </w:r>
            <w:r>
              <w:rPr>
                <w:rFonts w:eastAsia="標楷體"/>
                <w:szCs w:val="24"/>
              </w:rPr>
              <w:t>07</w:t>
            </w:r>
            <w:r>
              <w:rPr>
                <w:rFonts w:eastAsia="標楷體" w:hint="eastAsia"/>
                <w:szCs w:val="24"/>
              </w:rPr>
              <w:t>-</w:t>
            </w:r>
            <w:r>
              <w:rPr>
                <w:rFonts w:eastAsia="標楷體"/>
                <w:szCs w:val="24"/>
              </w:rPr>
              <w:t>18</w:t>
            </w:r>
          </w:p>
        </w:tc>
        <w:tc>
          <w:tcPr>
            <w:tcW w:w="4819" w:type="dxa"/>
            <w:tcBorders>
              <w:top w:val="single" w:sz="12" w:space="0" w:color="auto"/>
            </w:tcBorders>
          </w:tcPr>
          <w:p w:rsidR="00BE6FEF" w:rsidRPr="008A1E3F" w:rsidRDefault="00BE6FEF" w:rsidP="00016C0F">
            <w:pPr>
              <w:rPr>
                <w:rFonts w:eastAsia="標楷體"/>
                <w:szCs w:val="24"/>
              </w:rPr>
            </w:pPr>
            <w:r w:rsidRPr="008A1E3F">
              <w:rPr>
                <w:rFonts w:eastAsia="標楷體"/>
                <w:szCs w:val="24"/>
              </w:rPr>
              <w:t>新制定</w:t>
            </w:r>
          </w:p>
        </w:tc>
      </w:tr>
      <w:tr w:rsidR="00BE6FEF" w:rsidRPr="008A1E3F" w:rsidTr="00F31F2B">
        <w:tc>
          <w:tcPr>
            <w:tcW w:w="1560" w:type="dxa"/>
          </w:tcPr>
          <w:p w:rsidR="00BE6FEF" w:rsidRPr="008A1E3F" w:rsidRDefault="00BE6FEF" w:rsidP="008D3F84">
            <w:pPr>
              <w:jc w:val="center"/>
              <w:rPr>
                <w:rFonts w:eastAsia="標楷體"/>
                <w:szCs w:val="24"/>
              </w:rPr>
            </w:pPr>
          </w:p>
        </w:tc>
        <w:tc>
          <w:tcPr>
            <w:tcW w:w="1727" w:type="dxa"/>
          </w:tcPr>
          <w:p w:rsidR="00BE6FEF" w:rsidRPr="008A1E3F" w:rsidRDefault="00BE6FEF" w:rsidP="008D3F84">
            <w:pPr>
              <w:jc w:val="center"/>
              <w:rPr>
                <w:rFonts w:eastAsia="標楷體"/>
                <w:szCs w:val="24"/>
              </w:rPr>
            </w:pPr>
          </w:p>
        </w:tc>
        <w:tc>
          <w:tcPr>
            <w:tcW w:w="1959" w:type="dxa"/>
          </w:tcPr>
          <w:p w:rsidR="00BE6FEF" w:rsidRPr="008A1E3F" w:rsidRDefault="00BE6FEF" w:rsidP="008D3F84">
            <w:pPr>
              <w:jc w:val="center"/>
              <w:rPr>
                <w:rFonts w:eastAsia="標楷體"/>
                <w:szCs w:val="24"/>
              </w:rPr>
            </w:pPr>
          </w:p>
        </w:tc>
        <w:tc>
          <w:tcPr>
            <w:tcW w:w="4819" w:type="dxa"/>
          </w:tcPr>
          <w:p w:rsidR="00BE6FEF" w:rsidRPr="008A1E3F" w:rsidRDefault="00BE6FEF" w:rsidP="008D3F84">
            <w:pPr>
              <w:rPr>
                <w:rFonts w:eastAsia="標楷體"/>
                <w:szCs w:val="24"/>
              </w:rPr>
            </w:pPr>
          </w:p>
        </w:tc>
      </w:tr>
      <w:tr w:rsidR="00BE6FEF" w:rsidRPr="008A1E3F" w:rsidTr="00F31F2B">
        <w:tc>
          <w:tcPr>
            <w:tcW w:w="1560" w:type="dxa"/>
          </w:tcPr>
          <w:p w:rsidR="00BE6FEF" w:rsidRPr="008A1E3F" w:rsidRDefault="00BE6FEF" w:rsidP="008D3F84">
            <w:pPr>
              <w:jc w:val="center"/>
              <w:rPr>
                <w:rFonts w:eastAsia="標楷體"/>
                <w:szCs w:val="24"/>
              </w:rPr>
            </w:pPr>
          </w:p>
        </w:tc>
        <w:tc>
          <w:tcPr>
            <w:tcW w:w="1727" w:type="dxa"/>
          </w:tcPr>
          <w:p w:rsidR="00BE6FEF" w:rsidRPr="008A1E3F" w:rsidRDefault="00BE6FEF" w:rsidP="008D3F84">
            <w:pPr>
              <w:jc w:val="center"/>
              <w:rPr>
                <w:rFonts w:eastAsia="標楷體"/>
                <w:szCs w:val="24"/>
              </w:rPr>
            </w:pPr>
          </w:p>
        </w:tc>
        <w:tc>
          <w:tcPr>
            <w:tcW w:w="1959" w:type="dxa"/>
          </w:tcPr>
          <w:p w:rsidR="00BE6FEF" w:rsidRPr="008A1E3F" w:rsidRDefault="00BE6FEF" w:rsidP="008D3F84">
            <w:pPr>
              <w:jc w:val="center"/>
              <w:rPr>
                <w:rFonts w:eastAsia="標楷體"/>
                <w:szCs w:val="24"/>
              </w:rPr>
            </w:pPr>
          </w:p>
        </w:tc>
        <w:tc>
          <w:tcPr>
            <w:tcW w:w="4819" w:type="dxa"/>
          </w:tcPr>
          <w:p w:rsidR="00BE6FEF" w:rsidRPr="008A1E3F" w:rsidRDefault="00BE6FEF" w:rsidP="008D3F84">
            <w:pPr>
              <w:rPr>
                <w:rFonts w:eastAsia="標楷體"/>
                <w:szCs w:val="24"/>
              </w:rPr>
            </w:pPr>
          </w:p>
        </w:tc>
      </w:tr>
    </w:tbl>
    <w:p w:rsidR="00BE6FEF" w:rsidRPr="008A1E3F" w:rsidRDefault="00BE6FEF" w:rsidP="00BE6FEF">
      <w:pPr>
        <w:rPr>
          <w:lang w:val="zh-TW"/>
        </w:rPr>
      </w:pPr>
    </w:p>
    <w:p w:rsidR="00C92978" w:rsidRPr="004A3A98" w:rsidRDefault="00BE6FEF" w:rsidP="00C92978">
      <w:pPr>
        <w:snapToGrid w:val="0"/>
        <w:spacing w:line="240" w:lineRule="auto"/>
        <w:ind w:rightChars="-14" w:right="-34"/>
        <w:rPr>
          <w:rFonts w:eastAsia="標楷體"/>
          <w:szCs w:val="24"/>
        </w:rPr>
      </w:pPr>
      <w:r w:rsidRPr="008A1E3F">
        <w:rPr>
          <w:lang w:val="zh-TW"/>
        </w:rPr>
        <w:br w:type="page"/>
      </w:r>
    </w:p>
    <w:p w:rsidR="00C92978" w:rsidRPr="004A3A98" w:rsidRDefault="00C92978" w:rsidP="00C92978">
      <w:pPr>
        <w:snapToGrid w:val="0"/>
        <w:spacing w:line="240" w:lineRule="auto"/>
        <w:ind w:rightChars="-14" w:right="-34"/>
        <w:rPr>
          <w:rFonts w:eastAsia="標楷體"/>
          <w:szCs w:val="24"/>
        </w:rPr>
      </w:pPr>
      <w:r w:rsidRPr="004A3A98">
        <w:rPr>
          <w:rFonts w:eastAsia="標楷體" w:hint="eastAsia"/>
          <w:szCs w:val="24"/>
        </w:rPr>
        <w:lastRenderedPageBreak/>
        <w:t>第一條</w:t>
      </w:r>
    </w:p>
    <w:p w:rsidR="00C92978" w:rsidRDefault="00C92978" w:rsidP="00C92978">
      <w:pPr>
        <w:snapToGrid w:val="0"/>
        <w:spacing w:line="240" w:lineRule="auto"/>
        <w:ind w:leftChars="177" w:left="425" w:rightChars="-14" w:right="-34"/>
        <w:rPr>
          <w:rFonts w:eastAsia="標楷體"/>
          <w:szCs w:val="24"/>
        </w:rPr>
      </w:pPr>
      <w:r w:rsidRPr="004A3A98">
        <w:rPr>
          <w:rFonts w:eastAsia="標楷體" w:hint="eastAsia"/>
          <w:szCs w:val="24"/>
        </w:rPr>
        <w:t>為健全本公司與關係</w:t>
      </w:r>
      <w:r w:rsidR="00634F79">
        <w:rPr>
          <w:rFonts w:eastAsia="標楷體" w:hint="eastAsia"/>
          <w:szCs w:val="24"/>
        </w:rPr>
        <w:t>人</w:t>
      </w:r>
      <w:r w:rsidRPr="004A3A98">
        <w:rPr>
          <w:rFonts w:eastAsia="標楷體" w:hint="eastAsia"/>
          <w:szCs w:val="24"/>
        </w:rPr>
        <w:t>間之財務業務往來，防杜關係</w:t>
      </w:r>
      <w:r w:rsidR="00634F79">
        <w:rPr>
          <w:rFonts w:eastAsia="標楷體" w:hint="eastAsia"/>
          <w:szCs w:val="24"/>
        </w:rPr>
        <w:t>人</w:t>
      </w:r>
      <w:r w:rsidRPr="004A3A98">
        <w:rPr>
          <w:rFonts w:eastAsia="標楷體" w:hint="eastAsia"/>
          <w:szCs w:val="24"/>
        </w:rPr>
        <w:t>間之進銷貨交易、取得處分資產、背書保證及資金貸與等事項有非常規交易、不當利益輸送情事，</w:t>
      </w:r>
      <w:proofErr w:type="gramStart"/>
      <w:r w:rsidRPr="004A3A98">
        <w:rPr>
          <w:rFonts w:eastAsia="標楷體" w:hint="eastAsia"/>
          <w:szCs w:val="24"/>
        </w:rPr>
        <w:t>爰</w:t>
      </w:r>
      <w:proofErr w:type="gramEnd"/>
      <w:r w:rsidRPr="004A3A98">
        <w:rPr>
          <w:rFonts w:eastAsia="標楷體" w:hint="eastAsia"/>
          <w:szCs w:val="24"/>
        </w:rPr>
        <w:t>依上市上櫃公司治理實務守則第十七條之規定訂定本作業規範，以資遵循。</w:t>
      </w:r>
    </w:p>
    <w:p w:rsidR="00C92978" w:rsidRPr="004A3A98" w:rsidRDefault="00C92978" w:rsidP="00C92978">
      <w:pPr>
        <w:snapToGrid w:val="0"/>
        <w:spacing w:line="240" w:lineRule="auto"/>
        <w:ind w:rightChars="-14" w:right="-34"/>
        <w:rPr>
          <w:rFonts w:eastAsia="標楷體"/>
          <w:szCs w:val="24"/>
        </w:rPr>
      </w:pPr>
    </w:p>
    <w:p w:rsidR="00C92978" w:rsidRPr="004A3A98" w:rsidRDefault="00C92978" w:rsidP="00C92978">
      <w:pPr>
        <w:snapToGrid w:val="0"/>
        <w:spacing w:line="240" w:lineRule="auto"/>
        <w:ind w:rightChars="-14" w:right="-34"/>
        <w:rPr>
          <w:rFonts w:eastAsia="標楷體"/>
          <w:szCs w:val="24"/>
        </w:rPr>
      </w:pPr>
      <w:r w:rsidRPr="004A3A98">
        <w:rPr>
          <w:rFonts w:eastAsia="標楷體" w:hint="eastAsia"/>
          <w:szCs w:val="24"/>
        </w:rPr>
        <w:t>第二條</w:t>
      </w:r>
    </w:p>
    <w:p w:rsidR="00C92978" w:rsidRDefault="00C92978" w:rsidP="00C92978">
      <w:pPr>
        <w:snapToGrid w:val="0"/>
        <w:spacing w:line="240" w:lineRule="auto"/>
        <w:ind w:leftChars="177" w:left="425" w:rightChars="-14" w:right="-34"/>
        <w:rPr>
          <w:rFonts w:eastAsia="標楷體"/>
          <w:szCs w:val="24"/>
        </w:rPr>
      </w:pPr>
      <w:r w:rsidRPr="004A3A98">
        <w:rPr>
          <w:rFonts w:eastAsia="標楷體" w:hint="eastAsia"/>
          <w:szCs w:val="24"/>
        </w:rPr>
        <w:t>本公司與關係</w:t>
      </w:r>
      <w:r w:rsidR="00634F79">
        <w:rPr>
          <w:rFonts w:eastAsia="標楷體" w:hint="eastAsia"/>
          <w:szCs w:val="24"/>
        </w:rPr>
        <w:t>人</w:t>
      </w:r>
      <w:r w:rsidRPr="004A3A98">
        <w:rPr>
          <w:rFonts w:eastAsia="標楷體" w:hint="eastAsia"/>
          <w:szCs w:val="24"/>
        </w:rPr>
        <w:t>相互間財務業務相關作業，除法令或章程另有規定者外，應依本作業規範之規定辦理。</w:t>
      </w:r>
    </w:p>
    <w:p w:rsidR="00C92978" w:rsidRPr="004A3A98" w:rsidRDefault="00C92978" w:rsidP="00C92978">
      <w:pPr>
        <w:snapToGrid w:val="0"/>
        <w:spacing w:line="240" w:lineRule="auto"/>
        <w:ind w:rightChars="-14" w:right="-34"/>
        <w:rPr>
          <w:rFonts w:eastAsia="標楷體"/>
          <w:szCs w:val="24"/>
        </w:rPr>
      </w:pPr>
    </w:p>
    <w:p w:rsidR="00C92978" w:rsidRPr="004A3A98" w:rsidRDefault="00C92978" w:rsidP="00C92978">
      <w:pPr>
        <w:snapToGrid w:val="0"/>
        <w:spacing w:line="240" w:lineRule="auto"/>
        <w:ind w:rightChars="-14" w:right="-34"/>
        <w:rPr>
          <w:rFonts w:eastAsia="標楷體"/>
          <w:szCs w:val="24"/>
        </w:rPr>
      </w:pPr>
      <w:r w:rsidRPr="004A3A98">
        <w:rPr>
          <w:rFonts w:eastAsia="標楷體" w:hint="eastAsia"/>
          <w:szCs w:val="24"/>
        </w:rPr>
        <w:t>第三條</w:t>
      </w:r>
    </w:p>
    <w:p w:rsidR="001B5F84" w:rsidRDefault="001B5F84" w:rsidP="001B5F84">
      <w:pPr>
        <w:snapToGrid w:val="0"/>
        <w:spacing w:line="240" w:lineRule="auto"/>
        <w:ind w:leftChars="177" w:left="425" w:rightChars="-14" w:right="-34"/>
        <w:rPr>
          <w:rFonts w:eastAsia="標楷體"/>
          <w:szCs w:val="24"/>
        </w:rPr>
      </w:pPr>
      <w:r w:rsidRPr="001B5F84">
        <w:rPr>
          <w:rFonts w:eastAsia="標楷體" w:hint="eastAsia"/>
          <w:szCs w:val="24"/>
        </w:rPr>
        <w:t>本規範所稱關係人，應依證券發行人財務報告編製準則規定認定之。</w:t>
      </w:r>
    </w:p>
    <w:p w:rsidR="00C92978" w:rsidRPr="004A3A98" w:rsidRDefault="00C92978" w:rsidP="00C92978">
      <w:pPr>
        <w:snapToGrid w:val="0"/>
        <w:spacing w:line="240" w:lineRule="auto"/>
        <w:ind w:leftChars="177" w:left="425" w:rightChars="-14" w:right="-34"/>
        <w:rPr>
          <w:rFonts w:eastAsia="標楷體"/>
          <w:szCs w:val="24"/>
        </w:rPr>
      </w:pPr>
      <w:r w:rsidRPr="004A3A98">
        <w:rPr>
          <w:rFonts w:eastAsia="標楷體" w:hint="eastAsia"/>
          <w:szCs w:val="24"/>
        </w:rPr>
        <w:t>本規範所稱關係企業，為依公司法第三百六十九條之</w:t>
      </w:r>
      <w:proofErr w:type="gramStart"/>
      <w:r w:rsidRPr="004A3A98">
        <w:rPr>
          <w:rFonts w:eastAsia="標楷體" w:hint="eastAsia"/>
          <w:szCs w:val="24"/>
        </w:rPr>
        <w:t>一</w:t>
      </w:r>
      <w:proofErr w:type="gramEnd"/>
      <w:r w:rsidRPr="004A3A98">
        <w:rPr>
          <w:rFonts w:eastAsia="標楷體" w:hint="eastAsia"/>
          <w:szCs w:val="24"/>
        </w:rPr>
        <w:t>規定，獨立存在而相互間具有</w:t>
      </w:r>
      <w:r>
        <w:rPr>
          <w:rFonts w:eastAsia="標楷體" w:hint="eastAsia"/>
          <w:szCs w:val="24"/>
        </w:rPr>
        <w:t>下</w:t>
      </w:r>
      <w:r w:rsidRPr="004A3A98">
        <w:rPr>
          <w:rFonts w:eastAsia="標楷體" w:hint="eastAsia"/>
          <w:szCs w:val="24"/>
        </w:rPr>
        <w:t>列關係之企業：</w:t>
      </w:r>
    </w:p>
    <w:p w:rsidR="00C92978" w:rsidRPr="004A3A98" w:rsidRDefault="00C92978" w:rsidP="00C92978">
      <w:pPr>
        <w:snapToGrid w:val="0"/>
        <w:spacing w:line="240" w:lineRule="auto"/>
        <w:ind w:leftChars="354" w:left="850" w:rightChars="-14" w:right="-34"/>
        <w:rPr>
          <w:rFonts w:eastAsia="標楷體"/>
          <w:szCs w:val="24"/>
        </w:rPr>
      </w:pPr>
      <w:r w:rsidRPr="004A3A98">
        <w:rPr>
          <w:rFonts w:eastAsia="標楷體" w:hint="eastAsia"/>
          <w:szCs w:val="24"/>
        </w:rPr>
        <w:t>一、有控制與從屬關係之公司。</w:t>
      </w:r>
    </w:p>
    <w:p w:rsidR="00C92978" w:rsidRPr="004A3A98" w:rsidRDefault="00C92978" w:rsidP="00C92978">
      <w:pPr>
        <w:snapToGrid w:val="0"/>
        <w:spacing w:line="240" w:lineRule="auto"/>
        <w:ind w:leftChars="354" w:left="1330" w:rightChars="-14" w:right="-34" w:hangingChars="200" w:hanging="480"/>
        <w:rPr>
          <w:rFonts w:eastAsia="標楷體"/>
          <w:szCs w:val="24"/>
        </w:rPr>
      </w:pPr>
      <w:r w:rsidRPr="004A3A98">
        <w:rPr>
          <w:rFonts w:eastAsia="標楷體" w:hint="eastAsia"/>
          <w:szCs w:val="24"/>
        </w:rPr>
        <w:t>二、相互投資之公司。於判斷前項所訂控制與從屬關係時，除注意其法律形式外，應考慮其實質關係。</w:t>
      </w:r>
    </w:p>
    <w:p w:rsidR="00C92978" w:rsidRDefault="00C92978" w:rsidP="00C92978">
      <w:pPr>
        <w:snapToGrid w:val="0"/>
        <w:spacing w:line="240" w:lineRule="auto"/>
        <w:ind w:rightChars="-14" w:right="-34"/>
        <w:rPr>
          <w:rFonts w:eastAsia="標楷體"/>
          <w:szCs w:val="24"/>
        </w:rPr>
      </w:pPr>
    </w:p>
    <w:p w:rsidR="00C92978" w:rsidRPr="004A3A98" w:rsidRDefault="00C92978" w:rsidP="00C92978">
      <w:pPr>
        <w:snapToGrid w:val="0"/>
        <w:spacing w:line="240" w:lineRule="auto"/>
        <w:ind w:rightChars="-14" w:right="-34"/>
        <w:rPr>
          <w:rFonts w:eastAsia="標楷體"/>
          <w:szCs w:val="24"/>
        </w:rPr>
      </w:pPr>
      <w:r w:rsidRPr="004A3A98">
        <w:rPr>
          <w:rFonts w:eastAsia="標楷體" w:hint="eastAsia"/>
          <w:szCs w:val="24"/>
        </w:rPr>
        <w:t>第四條</w:t>
      </w:r>
    </w:p>
    <w:p w:rsidR="00C92978" w:rsidRPr="004A3A98" w:rsidRDefault="00C92978" w:rsidP="00456B34">
      <w:pPr>
        <w:snapToGrid w:val="0"/>
        <w:spacing w:line="240" w:lineRule="auto"/>
        <w:ind w:leftChars="177" w:left="425" w:rightChars="-14" w:right="-34"/>
        <w:rPr>
          <w:rFonts w:eastAsia="標楷體"/>
          <w:szCs w:val="24"/>
        </w:rPr>
      </w:pPr>
      <w:r w:rsidRPr="004A3A98">
        <w:rPr>
          <w:rFonts w:eastAsia="標楷體" w:hint="eastAsia"/>
          <w:szCs w:val="24"/>
        </w:rPr>
        <w:t>本公司應考量公司之營運活動，</w:t>
      </w:r>
      <w:r w:rsidR="00456B34" w:rsidRPr="00456B34">
        <w:rPr>
          <w:rFonts w:eastAsia="標楷體" w:hint="eastAsia"/>
          <w:szCs w:val="24"/>
        </w:rPr>
        <w:t>針對關係人</w:t>
      </w:r>
      <w:r w:rsidR="00456B34" w:rsidRPr="00456B34">
        <w:rPr>
          <w:rFonts w:eastAsia="標楷體" w:hint="eastAsia"/>
          <w:szCs w:val="24"/>
        </w:rPr>
        <w:t>(</w:t>
      </w:r>
      <w:r w:rsidR="00456B34" w:rsidRPr="00456B34">
        <w:rPr>
          <w:rFonts w:eastAsia="標楷體" w:hint="eastAsia"/>
          <w:szCs w:val="24"/>
        </w:rPr>
        <w:t>含關係企業</w:t>
      </w:r>
      <w:r w:rsidR="00456B34" w:rsidRPr="00456B34">
        <w:rPr>
          <w:rFonts w:eastAsia="標楷體" w:hint="eastAsia"/>
          <w:szCs w:val="24"/>
        </w:rPr>
        <w:t>)</w:t>
      </w:r>
      <w:r w:rsidR="00456B34" w:rsidRPr="00456B34">
        <w:rPr>
          <w:rFonts w:eastAsia="標楷體" w:hint="eastAsia"/>
          <w:szCs w:val="24"/>
        </w:rPr>
        <w:t>交易建</w:t>
      </w:r>
      <w:r w:rsidRPr="004A3A98">
        <w:rPr>
          <w:rFonts w:eastAsia="標楷體" w:hint="eastAsia"/>
          <w:szCs w:val="24"/>
        </w:rPr>
        <w:t>立有效之內部控制制度，並隨時進行檢討，以因應公司內外在環境之變遷，</w:t>
      </w:r>
      <w:proofErr w:type="gramStart"/>
      <w:r w:rsidRPr="004A3A98">
        <w:rPr>
          <w:rFonts w:eastAsia="標楷體" w:hint="eastAsia"/>
          <w:szCs w:val="24"/>
        </w:rPr>
        <w:t>俾</w:t>
      </w:r>
      <w:proofErr w:type="gramEnd"/>
      <w:r w:rsidRPr="004A3A98">
        <w:rPr>
          <w:rFonts w:eastAsia="標楷體" w:hint="eastAsia"/>
          <w:szCs w:val="24"/>
        </w:rPr>
        <w:t>確保該制度之設計及執行持續有效。</w:t>
      </w:r>
    </w:p>
    <w:p w:rsidR="00C92978" w:rsidRDefault="00C92978" w:rsidP="00C92978">
      <w:pPr>
        <w:snapToGrid w:val="0"/>
        <w:spacing w:line="240" w:lineRule="auto"/>
        <w:ind w:leftChars="177" w:left="425" w:rightChars="-14" w:right="-34"/>
        <w:rPr>
          <w:rFonts w:eastAsia="標楷體"/>
          <w:szCs w:val="24"/>
        </w:rPr>
      </w:pPr>
      <w:r w:rsidRPr="004A3A98">
        <w:rPr>
          <w:rFonts w:eastAsia="標楷體" w:hint="eastAsia"/>
          <w:szCs w:val="24"/>
        </w:rPr>
        <w:t>本公司應考量子公司所在地政府法令規定及實際營運性質後，督促子公司建立有效之內部控制制度；關係</w:t>
      </w:r>
      <w:r w:rsidR="00456B34" w:rsidRPr="00456B34">
        <w:rPr>
          <w:rFonts w:eastAsia="標楷體" w:hint="eastAsia"/>
          <w:szCs w:val="24"/>
        </w:rPr>
        <w:t>人</w:t>
      </w:r>
      <w:r w:rsidRPr="004A3A98">
        <w:rPr>
          <w:rFonts w:eastAsia="標楷體" w:hint="eastAsia"/>
          <w:szCs w:val="24"/>
        </w:rPr>
        <w:t>如為非公開發行公司，仍應考量其對本公司財務業務之影響程度，要求其建立有效之內部控制制度與財務、業務及會計管理制度。</w:t>
      </w:r>
    </w:p>
    <w:p w:rsidR="00C92978" w:rsidRPr="004A3A98" w:rsidRDefault="00C92978" w:rsidP="00C92978">
      <w:pPr>
        <w:snapToGrid w:val="0"/>
        <w:spacing w:line="240" w:lineRule="auto"/>
        <w:ind w:rightChars="-14" w:right="-34"/>
        <w:rPr>
          <w:rFonts w:eastAsia="標楷體"/>
          <w:szCs w:val="24"/>
        </w:rPr>
      </w:pPr>
    </w:p>
    <w:p w:rsidR="00C92978" w:rsidRPr="004A3A98" w:rsidRDefault="00C92978" w:rsidP="00C92978">
      <w:pPr>
        <w:snapToGrid w:val="0"/>
        <w:spacing w:line="240" w:lineRule="auto"/>
        <w:ind w:rightChars="-14" w:right="-34"/>
        <w:rPr>
          <w:rFonts w:eastAsia="標楷體"/>
          <w:szCs w:val="24"/>
        </w:rPr>
      </w:pPr>
      <w:r w:rsidRPr="004A3A98">
        <w:rPr>
          <w:rFonts w:eastAsia="標楷體" w:hint="eastAsia"/>
          <w:szCs w:val="24"/>
        </w:rPr>
        <w:t>第五條</w:t>
      </w:r>
    </w:p>
    <w:p w:rsidR="00C92978" w:rsidRPr="004A3A98" w:rsidRDefault="00C92978" w:rsidP="00C92978">
      <w:pPr>
        <w:snapToGrid w:val="0"/>
        <w:spacing w:line="240" w:lineRule="auto"/>
        <w:ind w:leftChars="177" w:left="425" w:rightChars="-14" w:right="-34"/>
        <w:rPr>
          <w:rFonts w:eastAsia="標楷體"/>
          <w:szCs w:val="24"/>
        </w:rPr>
      </w:pPr>
      <w:r w:rsidRPr="004A3A98">
        <w:rPr>
          <w:rFonts w:eastAsia="標楷體" w:hint="eastAsia"/>
          <w:szCs w:val="24"/>
        </w:rPr>
        <w:t>本公司對關係企業經營管理之監理，除依公司所訂之相關內部控制制度執行外，尚應注意下列事項：</w:t>
      </w:r>
    </w:p>
    <w:p w:rsidR="00C92978" w:rsidRDefault="00C92978" w:rsidP="00FB4979">
      <w:pPr>
        <w:snapToGrid w:val="0"/>
        <w:spacing w:line="240" w:lineRule="auto"/>
        <w:ind w:leftChars="354" w:left="1342" w:rightChars="-14" w:right="-34" w:hangingChars="205" w:hanging="492"/>
        <w:rPr>
          <w:rFonts w:eastAsia="標楷體"/>
          <w:szCs w:val="24"/>
        </w:rPr>
      </w:pPr>
      <w:r w:rsidRPr="004A3A98">
        <w:rPr>
          <w:rFonts w:eastAsia="標楷體" w:hint="eastAsia"/>
          <w:szCs w:val="24"/>
        </w:rPr>
        <w:t>一、本公司應依取得股份比例，取得關係企業適當之董事、監察人席次。</w:t>
      </w:r>
    </w:p>
    <w:p w:rsidR="00C92978" w:rsidRDefault="00C92978" w:rsidP="00C92978">
      <w:pPr>
        <w:snapToGrid w:val="0"/>
        <w:spacing w:line="240" w:lineRule="auto"/>
        <w:ind w:leftChars="354" w:left="1306" w:rightChars="-14" w:right="-34" w:hangingChars="190" w:hanging="456"/>
        <w:rPr>
          <w:rFonts w:eastAsia="標楷體"/>
          <w:szCs w:val="24"/>
        </w:rPr>
      </w:pPr>
      <w:r w:rsidRPr="004A3A98">
        <w:rPr>
          <w:rFonts w:eastAsia="標楷體" w:hint="eastAsia"/>
          <w:szCs w:val="24"/>
        </w:rPr>
        <w:t>二、本公司派任關係企業之董事應定期參加關係企業之董事會，由各該管理階層呈報企業目標及策略、財務狀況、經營成果、現金流量、重大合約等，以監督關係企業之營運，對異常事項應查明原因，作成紀錄並向本公司董事長或總經理報告。</w:t>
      </w:r>
    </w:p>
    <w:p w:rsidR="00C92978" w:rsidRDefault="00C92978" w:rsidP="00C92978">
      <w:pPr>
        <w:snapToGrid w:val="0"/>
        <w:spacing w:line="240" w:lineRule="auto"/>
        <w:ind w:leftChars="354" w:left="1306" w:rightChars="-14" w:right="-34" w:hangingChars="190" w:hanging="456"/>
        <w:rPr>
          <w:rFonts w:eastAsia="標楷體"/>
          <w:szCs w:val="24"/>
        </w:rPr>
      </w:pPr>
      <w:r w:rsidRPr="004A3A98">
        <w:rPr>
          <w:rFonts w:eastAsia="標楷體" w:hint="eastAsia"/>
          <w:szCs w:val="24"/>
        </w:rPr>
        <w:t>三、本公司派任關係企業之監察人應監督關係企業業務之執行，調查關係企業財務及業務狀況、查核簿冊文件及稽核報告，並得請關係企業之董事會或經理人提出報告，對異常事項應查明原因，作成紀錄並向本公司董事長或總經理報告。</w:t>
      </w:r>
    </w:p>
    <w:p w:rsidR="00C92978" w:rsidRDefault="00C92978" w:rsidP="00C92978">
      <w:pPr>
        <w:snapToGrid w:val="0"/>
        <w:spacing w:line="240" w:lineRule="auto"/>
        <w:ind w:leftChars="354" w:left="1306" w:rightChars="-14" w:right="-34" w:hangingChars="190" w:hanging="456"/>
        <w:rPr>
          <w:rFonts w:eastAsia="標楷體"/>
          <w:szCs w:val="24"/>
        </w:rPr>
      </w:pPr>
      <w:r w:rsidRPr="004A3A98">
        <w:rPr>
          <w:rFonts w:eastAsia="標楷體" w:hint="eastAsia"/>
          <w:szCs w:val="24"/>
        </w:rPr>
        <w:t>四、本公司應</w:t>
      </w:r>
      <w:proofErr w:type="gramStart"/>
      <w:r w:rsidRPr="004A3A98">
        <w:rPr>
          <w:rFonts w:eastAsia="標楷體" w:hint="eastAsia"/>
          <w:szCs w:val="24"/>
        </w:rPr>
        <w:t>派任適任</w:t>
      </w:r>
      <w:proofErr w:type="gramEnd"/>
      <w:r w:rsidRPr="004A3A98">
        <w:rPr>
          <w:rFonts w:eastAsia="標楷體" w:hint="eastAsia"/>
          <w:szCs w:val="24"/>
        </w:rPr>
        <w:t>人員就任關係企業之重要職位，如總經理、財務</w:t>
      </w:r>
      <w:r w:rsidRPr="004A3A98">
        <w:rPr>
          <w:rFonts w:eastAsia="標楷體" w:hint="eastAsia"/>
          <w:szCs w:val="24"/>
        </w:rPr>
        <w:lastRenderedPageBreak/>
        <w:t>主管或內部稽核主管等，以取得經營管理、決定權與監督評估之職責。</w:t>
      </w:r>
    </w:p>
    <w:p w:rsidR="00C92978" w:rsidRDefault="00C92978" w:rsidP="00C92978">
      <w:pPr>
        <w:snapToGrid w:val="0"/>
        <w:spacing w:line="240" w:lineRule="auto"/>
        <w:ind w:leftChars="354" w:left="1306" w:rightChars="-14" w:right="-34" w:hangingChars="190" w:hanging="456"/>
        <w:rPr>
          <w:rFonts w:eastAsia="標楷體"/>
          <w:szCs w:val="24"/>
        </w:rPr>
      </w:pPr>
      <w:r w:rsidRPr="004A3A98">
        <w:rPr>
          <w:rFonts w:eastAsia="標楷體" w:hint="eastAsia"/>
          <w:szCs w:val="24"/>
        </w:rPr>
        <w:t>五、本公司應視各子公司之業務性質、營運規模及員工人數，指導其設置內部稽核單位及訂定內部控制制度自行檢查作業之程序及方法。</w:t>
      </w:r>
    </w:p>
    <w:p w:rsidR="00C92978" w:rsidRDefault="00C92978" w:rsidP="00C92978">
      <w:pPr>
        <w:snapToGrid w:val="0"/>
        <w:spacing w:line="240" w:lineRule="auto"/>
        <w:ind w:leftChars="354" w:left="1306" w:rightChars="-14" w:right="-34" w:hangingChars="190" w:hanging="456"/>
        <w:rPr>
          <w:rFonts w:eastAsia="標楷體"/>
          <w:szCs w:val="24"/>
        </w:rPr>
      </w:pPr>
      <w:r w:rsidRPr="004A3A98">
        <w:rPr>
          <w:rFonts w:eastAsia="標楷體" w:hint="eastAsia"/>
          <w:szCs w:val="24"/>
        </w:rPr>
        <w:t>六、本公司內部稽核人員除應複核各子公司所陳報之稽核報告或自行檢查報告外，尚須定期或不定期向子公司執行稽核作業，稽核報告之發現及建議於陳核後，應通知各受查子公司改善，並定期做成追蹤報告，以確定其已及時採取適當之改善措施。</w:t>
      </w:r>
    </w:p>
    <w:p w:rsidR="00C92978" w:rsidRPr="004A3A98" w:rsidRDefault="00C92978" w:rsidP="00C92978">
      <w:pPr>
        <w:snapToGrid w:val="0"/>
        <w:spacing w:line="240" w:lineRule="auto"/>
        <w:ind w:leftChars="354" w:left="1306" w:rightChars="-14" w:right="-34" w:hangingChars="190" w:hanging="456"/>
        <w:rPr>
          <w:rFonts w:eastAsia="標楷體"/>
          <w:szCs w:val="24"/>
        </w:rPr>
      </w:pPr>
      <w:r w:rsidRPr="004A3A98">
        <w:rPr>
          <w:rFonts w:eastAsia="標楷體" w:hint="eastAsia"/>
          <w:szCs w:val="24"/>
        </w:rPr>
        <w:t>七、子公司應定期（如每月十五日前）提出上月份之財務報表，包括資產負債表、損益表、費用明細表、現金收支及預估表、應收</w:t>
      </w:r>
      <w:proofErr w:type="gramStart"/>
      <w:r w:rsidRPr="004A3A98">
        <w:rPr>
          <w:rFonts w:eastAsia="標楷體" w:hint="eastAsia"/>
          <w:szCs w:val="24"/>
        </w:rPr>
        <w:t>帳款帳齡分析</w:t>
      </w:r>
      <w:proofErr w:type="gramEnd"/>
      <w:r w:rsidRPr="004A3A98">
        <w:rPr>
          <w:rFonts w:eastAsia="標楷體" w:hint="eastAsia"/>
          <w:szCs w:val="24"/>
        </w:rPr>
        <w:t>表及逾期帳款明細表、</w:t>
      </w:r>
      <w:proofErr w:type="gramStart"/>
      <w:r w:rsidRPr="004A3A98">
        <w:rPr>
          <w:rFonts w:eastAsia="標楷體" w:hint="eastAsia"/>
          <w:szCs w:val="24"/>
        </w:rPr>
        <w:t>存貨庫齡分析</w:t>
      </w:r>
      <w:proofErr w:type="gramEnd"/>
      <w:r w:rsidRPr="004A3A98">
        <w:rPr>
          <w:rFonts w:eastAsia="標楷體" w:hint="eastAsia"/>
          <w:szCs w:val="24"/>
        </w:rPr>
        <w:t>表、資金貸與他人及背書保證月報表等，如有異常並應檢附分析報告，以供本公司進行控管。其餘關係企業亦應定期（如每季十五日前）提供本公司上一季之財務報表，包括資產負債表、損益表等，以供本公司進行分析檢討。</w:t>
      </w:r>
    </w:p>
    <w:p w:rsidR="00C92978" w:rsidRDefault="00C92978" w:rsidP="00C92978">
      <w:pPr>
        <w:snapToGrid w:val="0"/>
        <w:spacing w:line="240" w:lineRule="auto"/>
        <w:ind w:rightChars="-14" w:right="-34"/>
        <w:rPr>
          <w:rFonts w:eastAsia="標楷體"/>
          <w:szCs w:val="24"/>
        </w:rPr>
      </w:pPr>
    </w:p>
    <w:p w:rsidR="00C92978" w:rsidRPr="004A3A98" w:rsidRDefault="00C92978" w:rsidP="00C92978">
      <w:pPr>
        <w:snapToGrid w:val="0"/>
        <w:spacing w:line="240" w:lineRule="auto"/>
        <w:ind w:rightChars="-14" w:right="-34"/>
        <w:rPr>
          <w:rFonts w:eastAsia="標楷體"/>
          <w:szCs w:val="24"/>
        </w:rPr>
      </w:pPr>
      <w:r w:rsidRPr="004A3A98">
        <w:rPr>
          <w:rFonts w:eastAsia="標楷體" w:hint="eastAsia"/>
          <w:szCs w:val="24"/>
        </w:rPr>
        <w:t>第六條</w:t>
      </w:r>
    </w:p>
    <w:p w:rsidR="00C92978" w:rsidRDefault="00C92978" w:rsidP="00C92978">
      <w:pPr>
        <w:snapToGrid w:val="0"/>
        <w:spacing w:line="240" w:lineRule="auto"/>
        <w:ind w:leftChars="177" w:left="425" w:rightChars="-14" w:right="-34"/>
        <w:rPr>
          <w:rFonts w:eastAsia="標楷體"/>
          <w:szCs w:val="24"/>
        </w:rPr>
      </w:pPr>
      <w:r w:rsidRPr="004A3A98">
        <w:rPr>
          <w:rFonts w:eastAsia="標楷體" w:hint="eastAsia"/>
          <w:szCs w:val="24"/>
        </w:rPr>
        <w:t>本公司經理人不應與關係企業之經理人互為兼任，且不應自營或與他人經營與本公司同類之業務，但經董事會決議行之者，不在此限。本公司與關係企業間之人員管理權責應明確劃分，且應避免人員相互流用，惟如確有支援及調動之必要，應事先規範工作範圍及其權責與成本分攤方式。</w:t>
      </w:r>
    </w:p>
    <w:p w:rsidR="00C92978" w:rsidRPr="004A3A98" w:rsidRDefault="00C92978" w:rsidP="00C92978">
      <w:pPr>
        <w:snapToGrid w:val="0"/>
        <w:spacing w:line="240" w:lineRule="auto"/>
        <w:ind w:rightChars="-14" w:right="-34"/>
        <w:rPr>
          <w:rFonts w:eastAsia="標楷體"/>
          <w:szCs w:val="24"/>
        </w:rPr>
      </w:pPr>
    </w:p>
    <w:p w:rsidR="00C92978" w:rsidRPr="004A3A98" w:rsidRDefault="00C92978" w:rsidP="00C92978">
      <w:pPr>
        <w:snapToGrid w:val="0"/>
        <w:spacing w:line="240" w:lineRule="auto"/>
        <w:ind w:rightChars="-14" w:right="-34"/>
        <w:rPr>
          <w:rFonts w:eastAsia="標楷體"/>
          <w:szCs w:val="24"/>
        </w:rPr>
      </w:pPr>
      <w:r w:rsidRPr="004A3A98">
        <w:rPr>
          <w:rFonts w:eastAsia="標楷體" w:hint="eastAsia"/>
          <w:szCs w:val="24"/>
        </w:rPr>
        <w:t>第七條</w:t>
      </w:r>
    </w:p>
    <w:p w:rsidR="00C92978" w:rsidRDefault="00C92978" w:rsidP="00C92978">
      <w:pPr>
        <w:snapToGrid w:val="0"/>
        <w:spacing w:line="240" w:lineRule="auto"/>
        <w:ind w:leftChars="177" w:left="425" w:rightChars="-14" w:right="-34"/>
        <w:rPr>
          <w:rFonts w:eastAsia="標楷體"/>
          <w:szCs w:val="24"/>
        </w:rPr>
      </w:pPr>
      <w:r w:rsidRPr="004A3A98">
        <w:rPr>
          <w:rFonts w:eastAsia="標楷體" w:hint="eastAsia"/>
          <w:szCs w:val="24"/>
        </w:rPr>
        <w:t>本公司應與各關係企業間建立有效之財務、業務溝通系統，並定期就往來銀行、主要客戶及供應商進行綜合風險評估，以降低信用風險。對於有財務業務往來之關係企業，尤應隨時掌控其重大財務、業務事項，以進行風險控管。</w:t>
      </w:r>
    </w:p>
    <w:p w:rsidR="00C92978" w:rsidRPr="004A3A98" w:rsidRDefault="00C92978" w:rsidP="00C92978">
      <w:pPr>
        <w:snapToGrid w:val="0"/>
        <w:spacing w:line="240" w:lineRule="auto"/>
        <w:ind w:rightChars="-14" w:right="-34"/>
        <w:rPr>
          <w:rFonts w:eastAsia="標楷體"/>
          <w:szCs w:val="24"/>
        </w:rPr>
      </w:pPr>
    </w:p>
    <w:p w:rsidR="00C92978" w:rsidRPr="004A3A98" w:rsidRDefault="00C92978" w:rsidP="00C92978">
      <w:pPr>
        <w:snapToGrid w:val="0"/>
        <w:spacing w:line="240" w:lineRule="auto"/>
        <w:ind w:rightChars="-14" w:right="-34"/>
        <w:rPr>
          <w:rFonts w:eastAsia="標楷體"/>
          <w:szCs w:val="24"/>
        </w:rPr>
      </w:pPr>
      <w:r w:rsidRPr="004A3A98">
        <w:rPr>
          <w:rFonts w:eastAsia="標楷體" w:hint="eastAsia"/>
          <w:szCs w:val="24"/>
        </w:rPr>
        <w:t>第八條</w:t>
      </w:r>
    </w:p>
    <w:p w:rsidR="00C92978" w:rsidRPr="004A3A98" w:rsidRDefault="00C92978" w:rsidP="00C92978">
      <w:pPr>
        <w:snapToGrid w:val="0"/>
        <w:spacing w:line="240" w:lineRule="auto"/>
        <w:ind w:leftChars="177" w:left="425" w:rightChars="-14" w:right="-34"/>
        <w:rPr>
          <w:rFonts w:eastAsia="標楷體"/>
          <w:szCs w:val="24"/>
        </w:rPr>
      </w:pPr>
      <w:r w:rsidRPr="004A3A98">
        <w:rPr>
          <w:rFonts w:eastAsia="標楷體" w:hint="eastAsia"/>
          <w:szCs w:val="24"/>
        </w:rPr>
        <w:t>本公司與關係</w:t>
      </w:r>
      <w:r w:rsidR="009F4D81" w:rsidRPr="00456B34">
        <w:rPr>
          <w:rFonts w:eastAsia="標楷體" w:hint="eastAsia"/>
          <w:szCs w:val="24"/>
        </w:rPr>
        <w:t>人</w:t>
      </w:r>
      <w:r w:rsidRPr="004A3A98">
        <w:rPr>
          <w:rFonts w:eastAsia="標楷體" w:hint="eastAsia"/>
          <w:szCs w:val="24"/>
        </w:rPr>
        <w:t>間之資金貸與或背書保證應審慎評估並符合「公開發行公司資金貸與及背書保證處理準則」及公司所訂資金貸與他人作業程序及背書保證作業程序。</w:t>
      </w:r>
    </w:p>
    <w:p w:rsidR="00C92978" w:rsidRPr="004A3A98" w:rsidRDefault="00C92978" w:rsidP="00C92978">
      <w:pPr>
        <w:snapToGrid w:val="0"/>
        <w:spacing w:line="240" w:lineRule="auto"/>
        <w:ind w:leftChars="177" w:left="425" w:rightChars="-14" w:right="-34"/>
        <w:rPr>
          <w:rFonts w:eastAsia="標楷體"/>
          <w:szCs w:val="24"/>
        </w:rPr>
      </w:pPr>
      <w:r w:rsidRPr="004A3A98">
        <w:rPr>
          <w:rFonts w:eastAsia="標楷體" w:hint="eastAsia"/>
          <w:szCs w:val="24"/>
        </w:rPr>
        <w:t>與關係</w:t>
      </w:r>
      <w:r w:rsidR="009F4D81" w:rsidRPr="00456B34">
        <w:rPr>
          <w:rFonts w:eastAsia="標楷體" w:hint="eastAsia"/>
          <w:szCs w:val="24"/>
        </w:rPr>
        <w:t>人</w:t>
      </w:r>
      <w:r w:rsidRPr="004A3A98">
        <w:rPr>
          <w:rFonts w:eastAsia="標楷體" w:hint="eastAsia"/>
          <w:szCs w:val="24"/>
        </w:rPr>
        <w:t>間之資金貸與或背書保證應就下列事項進行詳細審查，且將評估結果提報董事會。資金貸與須報經董事會決議後辦理，不得授權其他人決定，背書保證則可經董事會依前項規定授權董事長在一定額度內辦理，惟事後應</w:t>
      </w:r>
      <w:proofErr w:type="gramStart"/>
      <w:r w:rsidRPr="004A3A98">
        <w:rPr>
          <w:rFonts w:eastAsia="標楷體" w:hint="eastAsia"/>
          <w:szCs w:val="24"/>
        </w:rPr>
        <w:t>報經最近期</w:t>
      </w:r>
      <w:proofErr w:type="gramEnd"/>
      <w:r w:rsidRPr="004A3A98">
        <w:rPr>
          <w:rFonts w:eastAsia="標楷體" w:hint="eastAsia"/>
          <w:szCs w:val="24"/>
        </w:rPr>
        <w:t>之董事會追認。</w:t>
      </w:r>
    </w:p>
    <w:p w:rsidR="00C92978" w:rsidRDefault="00C92978" w:rsidP="00C92978">
      <w:pPr>
        <w:snapToGrid w:val="0"/>
        <w:spacing w:line="240" w:lineRule="auto"/>
        <w:ind w:leftChars="324" w:left="1275" w:rightChars="-14" w:right="-34" w:hangingChars="207" w:hanging="497"/>
        <w:rPr>
          <w:rFonts w:eastAsia="標楷體"/>
          <w:szCs w:val="24"/>
        </w:rPr>
      </w:pPr>
      <w:r w:rsidRPr="004A3A98">
        <w:rPr>
          <w:rFonts w:eastAsia="標楷體" w:hint="eastAsia"/>
          <w:szCs w:val="24"/>
        </w:rPr>
        <w:t>一、資金貸與或背書保證之必要性及合理性。因業務往來關係從事資金貸與或背書保證者，應評估貸與金額或背書保證金額與業務往來金額是否相當；有短期融通資金之必要者，應</w:t>
      </w:r>
      <w:proofErr w:type="gramStart"/>
      <w:r w:rsidRPr="004A3A98">
        <w:rPr>
          <w:rFonts w:eastAsia="標楷體" w:hint="eastAsia"/>
          <w:szCs w:val="24"/>
        </w:rPr>
        <w:t>列舉得貸與</w:t>
      </w:r>
      <w:proofErr w:type="gramEnd"/>
      <w:r w:rsidRPr="004A3A98">
        <w:rPr>
          <w:rFonts w:eastAsia="標楷體" w:hint="eastAsia"/>
          <w:szCs w:val="24"/>
        </w:rPr>
        <w:t>資金之原因及情形。</w:t>
      </w:r>
    </w:p>
    <w:p w:rsidR="00C92978" w:rsidRDefault="00C92978" w:rsidP="00C92978">
      <w:pPr>
        <w:snapToGrid w:val="0"/>
        <w:spacing w:line="240" w:lineRule="auto"/>
        <w:ind w:leftChars="324" w:left="1275" w:rightChars="-14" w:right="-34" w:hangingChars="207" w:hanging="497"/>
        <w:rPr>
          <w:rFonts w:eastAsia="標楷體"/>
          <w:szCs w:val="24"/>
        </w:rPr>
      </w:pPr>
      <w:r w:rsidRPr="004A3A98">
        <w:rPr>
          <w:rFonts w:eastAsia="標楷體" w:hint="eastAsia"/>
          <w:szCs w:val="24"/>
        </w:rPr>
        <w:t>二、資金貸與或背書保證對象之徵信及風險評估。</w:t>
      </w:r>
    </w:p>
    <w:p w:rsidR="00C92978" w:rsidRDefault="00C92978" w:rsidP="00C92978">
      <w:pPr>
        <w:snapToGrid w:val="0"/>
        <w:spacing w:line="240" w:lineRule="auto"/>
        <w:ind w:leftChars="324" w:left="1275" w:rightChars="-14" w:right="-34" w:hangingChars="207" w:hanging="497"/>
        <w:rPr>
          <w:rFonts w:eastAsia="標楷體"/>
          <w:szCs w:val="24"/>
        </w:rPr>
      </w:pPr>
      <w:r w:rsidRPr="004A3A98">
        <w:rPr>
          <w:rFonts w:eastAsia="標楷體" w:hint="eastAsia"/>
          <w:szCs w:val="24"/>
        </w:rPr>
        <w:lastRenderedPageBreak/>
        <w:t>三、對公司營運風險、財務狀況及股東權益之影響。</w:t>
      </w:r>
    </w:p>
    <w:p w:rsidR="00C92978" w:rsidRPr="004A3A98" w:rsidRDefault="00C92978" w:rsidP="00C92978">
      <w:pPr>
        <w:snapToGrid w:val="0"/>
        <w:spacing w:line="240" w:lineRule="auto"/>
        <w:ind w:leftChars="324" w:left="1275" w:rightChars="-14" w:right="-34" w:hangingChars="207" w:hanging="497"/>
        <w:rPr>
          <w:rFonts w:eastAsia="標楷體"/>
          <w:szCs w:val="24"/>
        </w:rPr>
      </w:pPr>
      <w:r w:rsidRPr="004A3A98">
        <w:rPr>
          <w:rFonts w:eastAsia="標楷體" w:hint="eastAsia"/>
          <w:szCs w:val="24"/>
        </w:rPr>
        <w:t>四、應否取得擔保品及擔保品之評估價值。</w:t>
      </w:r>
    </w:p>
    <w:p w:rsidR="00C92978" w:rsidRPr="004A3A98" w:rsidRDefault="00C92978" w:rsidP="00C92978">
      <w:pPr>
        <w:snapToGrid w:val="0"/>
        <w:spacing w:line="240" w:lineRule="auto"/>
        <w:ind w:leftChars="177" w:left="425" w:rightChars="-14" w:right="-34"/>
        <w:rPr>
          <w:rFonts w:eastAsia="標楷體"/>
          <w:szCs w:val="24"/>
        </w:rPr>
      </w:pPr>
      <w:r w:rsidRPr="004A3A98">
        <w:rPr>
          <w:rFonts w:eastAsia="標楷體" w:hint="eastAsia"/>
          <w:szCs w:val="24"/>
        </w:rPr>
        <w:t>本公司直接及間接持有表決權股份達百分之九十以上之子公司依公開發行公司資金貸與及背書保證處理準則第五條第二項規定為背書保證前，應提報本公司董事會決議後始得辦理。但本公司直接及間接持有表決權股份百分之百之公司間背書保證，不在此限。</w:t>
      </w:r>
    </w:p>
    <w:p w:rsidR="00C92978" w:rsidRPr="004A3A98" w:rsidRDefault="00C92978" w:rsidP="00C92978">
      <w:pPr>
        <w:snapToGrid w:val="0"/>
        <w:spacing w:line="240" w:lineRule="auto"/>
        <w:ind w:leftChars="177" w:left="425" w:rightChars="-14" w:right="-34"/>
        <w:rPr>
          <w:rFonts w:eastAsia="標楷體"/>
          <w:szCs w:val="24"/>
        </w:rPr>
      </w:pPr>
      <w:r>
        <w:rPr>
          <w:rFonts w:eastAsia="標楷體" w:hint="eastAsia"/>
          <w:szCs w:val="24"/>
        </w:rPr>
        <w:t>本公司與</w:t>
      </w:r>
      <w:r w:rsidRPr="004A3A98">
        <w:rPr>
          <w:rFonts w:eastAsia="標楷體" w:hint="eastAsia"/>
          <w:szCs w:val="24"/>
        </w:rPr>
        <w:t>母公司或子公司間，或其子公司間之資金貸</w:t>
      </w:r>
      <w:proofErr w:type="gramStart"/>
      <w:r w:rsidRPr="004A3A98">
        <w:rPr>
          <w:rFonts w:eastAsia="標楷體" w:hint="eastAsia"/>
          <w:szCs w:val="24"/>
        </w:rPr>
        <w:t>與</w:t>
      </w:r>
      <w:proofErr w:type="gramEnd"/>
      <w:r w:rsidRPr="004A3A98">
        <w:rPr>
          <w:rFonts w:eastAsia="標楷體" w:hint="eastAsia"/>
          <w:szCs w:val="24"/>
        </w:rPr>
        <w:t>，應提董事會決議，並得授權董事長對同一貸與對象於董事會決議之一定額度及不超過一年之期間內分次撥貸或循環動用。</w:t>
      </w:r>
    </w:p>
    <w:p w:rsidR="00C92978" w:rsidRPr="004A3A98" w:rsidRDefault="00C92978" w:rsidP="00C92978">
      <w:pPr>
        <w:snapToGrid w:val="0"/>
        <w:spacing w:line="240" w:lineRule="auto"/>
        <w:ind w:leftChars="177" w:left="425" w:rightChars="-14" w:right="-34"/>
        <w:rPr>
          <w:rFonts w:eastAsia="標楷體"/>
          <w:szCs w:val="24"/>
        </w:rPr>
      </w:pPr>
      <w:r w:rsidRPr="004A3A98">
        <w:rPr>
          <w:rFonts w:eastAsia="標楷體" w:hint="eastAsia"/>
          <w:szCs w:val="24"/>
        </w:rPr>
        <w:t>本公司與關係</w:t>
      </w:r>
      <w:r w:rsidR="00F12F06" w:rsidRPr="00456B34">
        <w:rPr>
          <w:rFonts w:eastAsia="標楷體" w:hint="eastAsia"/>
          <w:szCs w:val="24"/>
        </w:rPr>
        <w:t>人</w:t>
      </w:r>
      <w:r w:rsidRPr="004A3A98">
        <w:rPr>
          <w:rFonts w:eastAsia="標楷體" w:hint="eastAsia"/>
          <w:szCs w:val="24"/>
        </w:rPr>
        <w:t>間之資金貸與或背書保證，應充分考量各獨立董事之意見，並將其同意或反對之明確意見及反對之理由列入董事會紀錄。</w:t>
      </w:r>
    </w:p>
    <w:p w:rsidR="00C92978" w:rsidRPr="004A3A98" w:rsidRDefault="00C92978" w:rsidP="00C92978">
      <w:pPr>
        <w:snapToGrid w:val="0"/>
        <w:spacing w:line="240" w:lineRule="auto"/>
        <w:ind w:leftChars="177" w:left="425" w:rightChars="-14" w:right="-34"/>
        <w:rPr>
          <w:rFonts w:eastAsia="標楷體"/>
          <w:szCs w:val="24"/>
        </w:rPr>
      </w:pPr>
      <w:r w:rsidRPr="004A3A98">
        <w:rPr>
          <w:rFonts w:eastAsia="標楷體" w:hint="eastAsia"/>
          <w:szCs w:val="24"/>
        </w:rPr>
        <w:t>本公司直接及間接持有表</w:t>
      </w:r>
      <w:bookmarkStart w:id="0" w:name="_GoBack"/>
      <w:bookmarkEnd w:id="0"/>
      <w:r w:rsidRPr="004A3A98">
        <w:rPr>
          <w:rFonts w:eastAsia="標楷體" w:hint="eastAsia"/>
          <w:szCs w:val="24"/>
        </w:rPr>
        <w:t>決權股份百分之百之國外</w:t>
      </w:r>
      <w:proofErr w:type="gramStart"/>
      <w:r w:rsidRPr="004A3A98">
        <w:rPr>
          <w:rFonts w:eastAsia="標楷體" w:hint="eastAsia"/>
          <w:szCs w:val="24"/>
        </w:rPr>
        <w:t>公司間因有</w:t>
      </w:r>
      <w:proofErr w:type="gramEnd"/>
      <w:r w:rsidRPr="004A3A98">
        <w:rPr>
          <w:rFonts w:eastAsia="標楷體" w:hint="eastAsia"/>
          <w:szCs w:val="24"/>
        </w:rPr>
        <w:t>短期融通資金之必要從事資金貸與者，融資金額不受貸與企業淨值百分之四十之限制。本公司直接及間接持有表決權股份達百分之九十以上之</w:t>
      </w:r>
      <w:proofErr w:type="gramStart"/>
      <w:r w:rsidRPr="004A3A98">
        <w:rPr>
          <w:rFonts w:eastAsia="標楷體" w:hint="eastAsia"/>
          <w:szCs w:val="24"/>
        </w:rPr>
        <w:t>公司間為背書</w:t>
      </w:r>
      <w:proofErr w:type="gramEnd"/>
      <w:r w:rsidRPr="004A3A98">
        <w:rPr>
          <w:rFonts w:eastAsia="標楷體" w:hint="eastAsia"/>
          <w:szCs w:val="24"/>
        </w:rPr>
        <w:t>保證者，其金額不得超過本公司淨值之百分之十。但本公司直接及間接持有表決權股份百分之百之</w:t>
      </w:r>
      <w:proofErr w:type="gramStart"/>
      <w:r w:rsidRPr="004A3A98">
        <w:rPr>
          <w:rFonts w:eastAsia="標楷體" w:hint="eastAsia"/>
          <w:szCs w:val="24"/>
        </w:rPr>
        <w:t>公司間為背書</w:t>
      </w:r>
      <w:proofErr w:type="gramEnd"/>
      <w:r w:rsidRPr="004A3A98">
        <w:rPr>
          <w:rFonts w:eastAsia="標楷體" w:hint="eastAsia"/>
          <w:szCs w:val="24"/>
        </w:rPr>
        <w:t>保證，不在此限。</w:t>
      </w:r>
    </w:p>
    <w:p w:rsidR="00C92978" w:rsidRDefault="00C92978" w:rsidP="00C92978">
      <w:pPr>
        <w:snapToGrid w:val="0"/>
        <w:spacing w:line="240" w:lineRule="auto"/>
        <w:ind w:leftChars="177" w:left="425" w:rightChars="-14" w:right="-34"/>
        <w:rPr>
          <w:rFonts w:eastAsia="標楷體"/>
          <w:szCs w:val="24"/>
        </w:rPr>
      </w:pPr>
      <w:r w:rsidRPr="004A3A98">
        <w:rPr>
          <w:rFonts w:eastAsia="標楷體" w:hint="eastAsia"/>
          <w:szCs w:val="24"/>
        </w:rPr>
        <w:t>對資金貸與或保證之事項應確實執行後續控管措施，如有債權逾期或發生損失之虞時，應</w:t>
      </w:r>
      <w:proofErr w:type="gramStart"/>
      <w:r w:rsidRPr="004A3A98">
        <w:rPr>
          <w:rFonts w:eastAsia="標楷體" w:hint="eastAsia"/>
          <w:szCs w:val="24"/>
        </w:rPr>
        <w:t>採</w:t>
      </w:r>
      <w:proofErr w:type="gramEnd"/>
      <w:r w:rsidRPr="004A3A98">
        <w:rPr>
          <w:rFonts w:eastAsia="標楷體" w:hint="eastAsia"/>
          <w:szCs w:val="24"/>
        </w:rPr>
        <w:t>行適當之保全措施，以保障公司權益。</w:t>
      </w:r>
    </w:p>
    <w:p w:rsidR="00C92978" w:rsidRPr="004A3A98" w:rsidRDefault="00C92978" w:rsidP="00C92978">
      <w:pPr>
        <w:snapToGrid w:val="0"/>
        <w:spacing w:line="240" w:lineRule="auto"/>
        <w:ind w:rightChars="-14" w:right="-34"/>
        <w:rPr>
          <w:rFonts w:eastAsia="標楷體"/>
          <w:szCs w:val="24"/>
        </w:rPr>
      </w:pPr>
    </w:p>
    <w:p w:rsidR="00C92978" w:rsidRPr="004A3A98" w:rsidRDefault="00C92978" w:rsidP="00C92978">
      <w:pPr>
        <w:snapToGrid w:val="0"/>
        <w:spacing w:line="240" w:lineRule="auto"/>
        <w:ind w:rightChars="-14" w:right="-34"/>
        <w:rPr>
          <w:rFonts w:eastAsia="標楷體"/>
          <w:szCs w:val="24"/>
        </w:rPr>
      </w:pPr>
      <w:r w:rsidRPr="004A3A98">
        <w:rPr>
          <w:rFonts w:eastAsia="標楷體" w:hint="eastAsia"/>
          <w:szCs w:val="24"/>
        </w:rPr>
        <w:t>第九條</w:t>
      </w:r>
    </w:p>
    <w:p w:rsidR="00C92978" w:rsidRPr="004A3A98" w:rsidRDefault="00C92978" w:rsidP="00C92978">
      <w:pPr>
        <w:snapToGrid w:val="0"/>
        <w:spacing w:line="240" w:lineRule="auto"/>
        <w:ind w:leftChars="177" w:left="425" w:rightChars="-14" w:right="-34"/>
        <w:rPr>
          <w:rFonts w:eastAsia="標楷體"/>
          <w:szCs w:val="24"/>
        </w:rPr>
      </w:pPr>
      <w:r w:rsidRPr="004A3A98">
        <w:rPr>
          <w:rFonts w:eastAsia="標楷體" w:hint="eastAsia"/>
          <w:szCs w:val="24"/>
        </w:rPr>
        <w:t>本公司與關係</w:t>
      </w:r>
      <w:r w:rsidR="00F12F06" w:rsidRPr="00456B34">
        <w:rPr>
          <w:rFonts w:eastAsia="標楷體" w:hint="eastAsia"/>
          <w:szCs w:val="24"/>
        </w:rPr>
        <w:t>人</w:t>
      </w:r>
      <w:r w:rsidRPr="004A3A98">
        <w:rPr>
          <w:rFonts w:eastAsia="標楷體" w:hint="eastAsia"/>
          <w:szCs w:val="24"/>
        </w:rPr>
        <w:t>間之業務往來，應明確訂定價格條件與支付方式，且交易之目的、價格、條件、交易之實質與形式及相關處理程序，不應與非關係人之正常</w:t>
      </w:r>
      <w:proofErr w:type="gramStart"/>
      <w:r w:rsidRPr="004A3A98">
        <w:rPr>
          <w:rFonts w:eastAsia="標楷體" w:hint="eastAsia"/>
          <w:szCs w:val="24"/>
        </w:rPr>
        <w:t>交易有顯不</w:t>
      </w:r>
      <w:proofErr w:type="gramEnd"/>
      <w:r w:rsidRPr="004A3A98">
        <w:rPr>
          <w:rFonts w:eastAsia="標楷體" w:hint="eastAsia"/>
          <w:szCs w:val="24"/>
        </w:rPr>
        <w:t>相當</w:t>
      </w:r>
      <w:proofErr w:type="gramStart"/>
      <w:r w:rsidRPr="004A3A98">
        <w:rPr>
          <w:rFonts w:eastAsia="標楷體" w:hint="eastAsia"/>
          <w:szCs w:val="24"/>
        </w:rPr>
        <w:t>或顯欠合理</w:t>
      </w:r>
      <w:proofErr w:type="gramEnd"/>
      <w:r w:rsidRPr="004A3A98">
        <w:rPr>
          <w:rFonts w:eastAsia="標楷體" w:hint="eastAsia"/>
          <w:szCs w:val="24"/>
        </w:rPr>
        <w:t>之情事。</w:t>
      </w:r>
    </w:p>
    <w:p w:rsidR="00C92978" w:rsidRPr="004A3A98" w:rsidRDefault="00C92978" w:rsidP="00C92978">
      <w:pPr>
        <w:snapToGrid w:val="0"/>
        <w:spacing w:line="240" w:lineRule="auto"/>
        <w:ind w:leftChars="177" w:left="425" w:rightChars="-14" w:right="-34"/>
        <w:rPr>
          <w:rFonts w:eastAsia="標楷體"/>
          <w:szCs w:val="24"/>
        </w:rPr>
      </w:pPr>
      <w:r w:rsidRPr="004A3A98">
        <w:rPr>
          <w:rFonts w:eastAsia="標楷體" w:hint="eastAsia"/>
          <w:szCs w:val="24"/>
        </w:rPr>
        <w:t>因業務需要，向關係</w:t>
      </w:r>
      <w:r w:rsidR="00F12F06" w:rsidRPr="00456B34">
        <w:rPr>
          <w:rFonts w:eastAsia="標楷體" w:hint="eastAsia"/>
          <w:szCs w:val="24"/>
        </w:rPr>
        <w:t>人</w:t>
      </w:r>
      <w:r w:rsidRPr="004A3A98">
        <w:rPr>
          <w:rFonts w:eastAsia="標楷體" w:hint="eastAsia"/>
          <w:szCs w:val="24"/>
        </w:rPr>
        <w:t>採購成品、半成品、原材料時，採購人員應就市場價格及其他交易條件綜合評估關係</w:t>
      </w:r>
      <w:r w:rsidR="00F12F06" w:rsidRPr="00456B34">
        <w:rPr>
          <w:rFonts w:eastAsia="標楷體" w:hint="eastAsia"/>
          <w:szCs w:val="24"/>
        </w:rPr>
        <w:t>人</w:t>
      </w:r>
      <w:r w:rsidRPr="004A3A98">
        <w:rPr>
          <w:rFonts w:eastAsia="標楷體" w:hint="eastAsia"/>
          <w:szCs w:val="24"/>
        </w:rPr>
        <w:t>報價之合理性，除有特殊因素或具有優良條件不同於一般供應商，可依合理約定給予優惠之價格或付款條件外，其餘價格及付款條件應比照一般供應商。</w:t>
      </w:r>
    </w:p>
    <w:p w:rsidR="00C92978" w:rsidRPr="004A3A98" w:rsidRDefault="00C92978" w:rsidP="00C92978">
      <w:pPr>
        <w:snapToGrid w:val="0"/>
        <w:spacing w:line="240" w:lineRule="auto"/>
        <w:ind w:leftChars="177" w:left="425" w:rightChars="-14" w:right="-34"/>
        <w:rPr>
          <w:rFonts w:eastAsia="標楷體"/>
          <w:szCs w:val="24"/>
        </w:rPr>
      </w:pPr>
      <w:r w:rsidRPr="004A3A98">
        <w:rPr>
          <w:rFonts w:eastAsia="標楷體" w:hint="eastAsia"/>
          <w:szCs w:val="24"/>
        </w:rPr>
        <w:t>向關係</w:t>
      </w:r>
      <w:r w:rsidR="00F12F06" w:rsidRPr="00456B34">
        <w:rPr>
          <w:rFonts w:eastAsia="標楷體" w:hint="eastAsia"/>
          <w:szCs w:val="24"/>
        </w:rPr>
        <w:t>人</w:t>
      </w:r>
      <w:r w:rsidRPr="004A3A98">
        <w:rPr>
          <w:rFonts w:eastAsia="標楷體" w:hint="eastAsia"/>
          <w:szCs w:val="24"/>
        </w:rPr>
        <w:t>銷售成品、半成品、原材料時，其報價應參考當時市場價格，除因長期配合關係或其他特殊因素不同於一般客戶，得依合理約定給予優惠之價格或收款條件外，其餘價格及收款條件應比照一般客戶。</w:t>
      </w:r>
    </w:p>
    <w:p w:rsidR="00C92978" w:rsidRPr="004A3A98" w:rsidRDefault="00C92978" w:rsidP="00C92978">
      <w:pPr>
        <w:snapToGrid w:val="0"/>
        <w:spacing w:line="240" w:lineRule="auto"/>
        <w:ind w:leftChars="177" w:left="425" w:rightChars="-14" w:right="-34"/>
        <w:rPr>
          <w:rFonts w:eastAsia="標楷體"/>
          <w:szCs w:val="24"/>
        </w:rPr>
      </w:pPr>
      <w:r w:rsidRPr="004A3A98">
        <w:rPr>
          <w:rFonts w:eastAsia="標楷體" w:hint="eastAsia"/>
          <w:szCs w:val="24"/>
        </w:rPr>
        <w:t>與關係</w:t>
      </w:r>
      <w:r w:rsidR="00F12F06" w:rsidRPr="00456B34">
        <w:rPr>
          <w:rFonts w:eastAsia="標楷體" w:hint="eastAsia"/>
          <w:szCs w:val="24"/>
        </w:rPr>
        <w:t>人</w:t>
      </w:r>
      <w:r w:rsidRPr="004A3A98">
        <w:rPr>
          <w:rFonts w:eastAsia="標楷體" w:hint="eastAsia"/>
          <w:szCs w:val="24"/>
        </w:rPr>
        <w:t>間之勞務或技術服務，應由雙方簽訂合約，約定服務內容、服務費用、</w:t>
      </w:r>
      <w:proofErr w:type="gramStart"/>
      <w:r w:rsidRPr="004A3A98">
        <w:rPr>
          <w:rFonts w:eastAsia="標楷體" w:hint="eastAsia"/>
          <w:szCs w:val="24"/>
        </w:rPr>
        <w:t>期間、</w:t>
      </w:r>
      <w:proofErr w:type="gramEnd"/>
      <w:r w:rsidRPr="004A3A98">
        <w:rPr>
          <w:rFonts w:eastAsia="標楷體" w:hint="eastAsia"/>
          <w:szCs w:val="24"/>
        </w:rPr>
        <w:t>收付款條件及售後服務等，</w:t>
      </w:r>
      <w:proofErr w:type="gramStart"/>
      <w:r w:rsidRPr="004A3A98">
        <w:rPr>
          <w:rFonts w:eastAsia="標楷體" w:hint="eastAsia"/>
          <w:szCs w:val="24"/>
        </w:rPr>
        <w:t>經呈總經理</w:t>
      </w:r>
      <w:proofErr w:type="gramEnd"/>
      <w:r w:rsidRPr="004A3A98">
        <w:rPr>
          <w:rFonts w:eastAsia="標楷體" w:hint="eastAsia"/>
          <w:szCs w:val="24"/>
        </w:rPr>
        <w:t>或董事長核准後辦理，該合約之一切條款應依循一般商業常規。</w:t>
      </w:r>
    </w:p>
    <w:p w:rsidR="00C92978" w:rsidRPr="004A3A98" w:rsidRDefault="00C92978" w:rsidP="00C92978">
      <w:pPr>
        <w:snapToGrid w:val="0"/>
        <w:spacing w:line="240" w:lineRule="auto"/>
        <w:ind w:leftChars="177" w:left="425" w:rightChars="-14" w:right="-34"/>
        <w:rPr>
          <w:rFonts w:eastAsia="標楷體"/>
          <w:szCs w:val="24"/>
        </w:rPr>
      </w:pPr>
      <w:r w:rsidRPr="004A3A98">
        <w:rPr>
          <w:rFonts w:eastAsia="標楷體" w:hint="eastAsia"/>
          <w:szCs w:val="24"/>
        </w:rPr>
        <w:t>本公司與關係</w:t>
      </w:r>
      <w:r w:rsidR="00F12F06" w:rsidRPr="00456B34">
        <w:rPr>
          <w:rFonts w:eastAsia="標楷體" w:hint="eastAsia"/>
          <w:szCs w:val="24"/>
        </w:rPr>
        <w:t>人</w:t>
      </w:r>
      <w:r w:rsidRPr="004A3A98">
        <w:rPr>
          <w:rFonts w:eastAsia="標楷體" w:hint="eastAsia"/>
          <w:szCs w:val="24"/>
        </w:rPr>
        <w:t>之會計人員應於每月底前就上一月彼此間之進、銷貨及應收、應付款項餘額相互核對，若有差異則需瞭解原因並作成調節表。</w:t>
      </w:r>
    </w:p>
    <w:p w:rsidR="0060613C" w:rsidRDefault="0060613C" w:rsidP="0060613C">
      <w:pPr>
        <w:snapToGrid w:val="0"/>
        <w:spacing w:line="240" w:lineRule="auto"/>
        <w:ind w:rightChars="-14" w:right="-34"/>
        <w:rPr>
          <w:rFonts w:eastAsia="標楷體"/>
          <w:szCs w:val="24"/>
        </w:rPr>
      </w:pPr>
    </w:p>
    <w:p w:rsidR="0060613C" w:rsidRPr="0060613C" w:rsidRDefault="0060613C" w:rsidP="0060613C">
      <w:pPr>
        <w:snapToGrid w:val="0"/>
        <w:spacing w:line="240" w:lineRule="auto"/>
        <w:ind w:rightChars="-14" w:right="-34"/>
        <w:rPr>
          <w:rFonts w:eastAsia="標楷體"/>
          <w:szCs w:val="24"/>
        </w:rPr>
      </w:pPr>
      <w:r w:rsidRPr="0060613C">
        <w:rPr>
          <w:rFonts w:eastAsia="標楷體" w:hint="eastAsia"/>
          <w:szCs w:val="24"/>
        </w:rPr>
        <w:t>第九條之</w:t>
      </w:r>
      <w:proofErr w:type="gramStart"/>
      <w:r w:rsidRPr="0060613C">
        <w:rPr>
          <w:rFonts w:eastAsia="標楷體" w:hint="eastAsia"/>
          <w:szCs w:val="24"/>
        </w:rPr>
        <w:t>一</w:t>
      </w:r>
      <w:proofErr w:type="gramEnd"/>
    </w:p>
    <w:p w:rsidR="0060613C" w:rsidRPr="0060613C" w:rsidRDefault="0060613C" w:rsidP="000B26B9">
      <w:pPr>
        <w:snapToGrid w:val="0"/>
        <w:spacing w:line="240" w:lineRule="auto"/>
        <w:ind w:leftChars="177" w:left="425" w:rightChars="-14" w:right="-34"/>
        <w:rPr>
          <w:rFonts w:eastAsia="標楷體"/>
          <w:szCs w:val="24"/>
        </w:rPr>
      </w:pPr>
      <w:r w:rsidRPr="0060613C">
        <w:rPr>
          <w:rFonts w:eastAsia="標楷體" w:hint="eastAsia"/>
          <w:szCs w:val="24"/>
        </w:rPr>
        <w:t>本公司向關係人進銷貨、進行勞務或技術服務交易，預計全年度交易金額達公司最近期合併總資產或最近年度合併營業收入淨額之百分之五者，除適用公開發行公司取得或處分資產處理準則規定，或屬本公司與母公司、</w:t>
      </w:r>
      <w:r w:rsidRPr="0060613C">
        <w:rPr>
          <w:rFonts w:eastAsia="標楷體" w:hint="eastAsia"/>
          <w:szCs w:val="24"/>
        </w:rPr>
        <w:lastRenderedPageBreak/>
        <w:t>子公司或子公司彼此間交易者外，應將下列資料提交董事會通過後，始得進行交易</w:t>
      </w:r>
      <w:r w:rsidRPr="0060613C">
        <w:rPr>
          <w:rFonts w:eastAsia="標楷體" w:hint="eastAsia"/>
          <w:szCs w:val="24"/>
        </w:rPr>
        <w:t>:</w:t>
      </w:r>
    </w:p>
    <w:p w:rsidR="000B26B9" w:rsidRDefault="0060613C" w:rsidP="000B26B9">
      <w:pPr>
        <w:pStyle w:val="a8"/>
        <w:numPr>
          <w:ilvl w:val="0"/>
          <w:numId w:val="56"/>
        </w:numPr>
        <w:snapToGrid w:val="0"/>
        <w:spacing w:line="240" w:lineRule="auto"/>
        <w:ind w:leftChars="0" w:left="1276" w:rightChars="-14" w:right="-34"/>
        <w:rPr>
          <w:rFonts w:eastAsia="標楷體"/>
          <w:szCs w:val="24"/>
        </w:rPr>
      </w:pPr>
      <w:r w:rsidRPr="000B26B9">
        <w:rPr>
          <w:rFonts w:eastAsia="標楷體" w:hint="eastAsia"/>
          <w:szCs w:val="24"/>
        </w:rPr>
        <w:t>交易之項目、目的、必要性及預計效益。</w:t>
      </w:r>
    </w:p>
    <w:p w:rsidR="000B26B9" w:rsidRDefault="0060613C" w:rsidP="000B26B9">
      <w:pPr>
        <w:pStyle w:val="a8"/>
        <w:numPr>
          <w:ilvl w:val="0"/>
          <w:numId w:val="56"/>
        </w:numPr>
        <w:snapToGrid w:val="0"/>
        <w:spacing w:line="240" w:lineRule="auto"/>
        <w:ind w:leftChars="0" w:left="1276" w:rightChars="-14" w:right="-34"/>
        <w:rPr>
          <w:rFonts w:eastAsia="標楷體"/>
          <w:szCs w:val="24"/>
        </w:rPr>
      </w:pPr>
      <w:r w:rsidRPr="000B26B9">
        <w:rPr>
          <w:rFonts w:eastAsia="標楷體" w:hint="eastAsia"/>
          <w:szCs w:val="24"/>
        </w:rPr>
        <w:t>選定關係人為交易對象之原因。</w:t>
      </w:r>
    </w:p>
    <w:p w:rsidR="000B26B9" w:rsidRDefault="0060613C" w:rsidP="000B26B9">
      <w:pPr>
        <w:pStyle w:val="a8"/>
        <w:numPr>
          <w:ilvl w:val="0"/>
          <w:numId w:val="56"/>
        </w:numPr>
        <w:snapToGrid w:val="0"/>
        <w:spacing w:line="240" w:lineRule="auto"/>
        <w:ind w:leftChars="0" w:left="1276" w:rightChars="-14" w:right="-34"/>
        <w:rPr>
          <w:rFonts w:eastAsia="標楷體"/>
          <w:szCs w:val="24"/>
        </w:rPr>
      </w:pPr>
      <w:r w:rsidRPr="000B26B9">
        <w:rPr>
          <w:rFonts w:eastAsia="標楷體" w:hint="eastAsia"/>
          <w:szCs w:val="24"/>
        </w:rPr>
        <w:t>交易價格計算原則及預計全年度交易金額上限。</w:t>
      </w:r>
    </w:p>
    <w:p w:rsidR="000B26B9" w:rsidRDefault="0060613C" w:rsidP="000B26B9">
      <w:pPr>
        <w:pStyle w:val="a8"/>
        <w:numPr>
          <w:ilvl w:val="0"/>
          <w:numId w:val="56"/>
        </w:numPr>
        <w:snapToGrid w:val="0"/>
        <w:spacing w:line="240" w:lineRule="auto"/>
        <w:ind w:leftChars="0" w:left="1276" w:rightChars="-14" w:right="-34"/>
        <w:rPr>
          <w:rFonts w:eastAsia="標楷體"/>
          <w:szCs w:val="24"/>
        </w:rPr>
      </w:pPr>
      <w:r w:rsidRPr="000B26B9">
        <w:rPr>
          <w:rFonts w:eastAsia="標楷體" w:hint="eastAsia"/>
          <w:szCs w:val="24"/>
        </w:rPr>
        <w:t>交易條件是否符合正常商業條款且未損害公司利益及股東權益之說明。</w:t>
      </w:r>
    </w:p>
    <w:p w:rsidR="0060613C" w:rsidRPr="000B26B9" w:rsidRDefault="0060613C" w:rsidP="000B26B9">
      <w:pPr>
        <w:pStyle w:val="a8"/>
        <w:numPr>
          <w:ilvl w:val="0"/>
          <w:numId w:val="56"/>
        </w:numPr>
        <w:snapToGrid w:val="0"/>
        <w:spacing w:line="240" w:lineRule="auto"/>
        <w:ind w:leftChars="0" w:left="1276" w:rightChars="-14" w:right="-34"/>
        <w:rPr>
          <w:rFonts w:eastAsia="標楷體"/>
          <w:szCs w:val="24"/>
        </w:rPr>
      </w:pPr>
      <w:r w:rsidRPr="000B26B9">
        <w:rPr>
          <w:rFonts w:eastAsia="標楷體" w:hint="eastAsia"/>
          <w:szCs w:val="24"/>
        </w:rPr>
        <w:t>交易之限制條件及其他重要約定事項。</w:t>
      </w:r>
    </w:p>
    <w:p w:rsidR="0060613C" w:rsidRPr="0060613C" w:rsidRDefault="0060613C" w:rsidP="000B26B9">
      <w:pPr>
        <w:snapToGrid w:val="0"/>
        <w:spacing w:line="240" w:lineRule="auto"/>
        <w:ind w:leftChars="180" w:left="432" w:rightChars="-14" w:right="-34"/>
        <w:rPr>
          <w:rFonts w:eastAsia="標楷體"/>
          <w:szCs w:val="24"/>
        </w:rPr>
      </w:pPr>
      <w:r w:rsidRPr="0060613C">
        <w:rPr>
          <w:rFonts w:eastAsia="標楷體" w:hint="eastAsia"/>
          <w:szCs w:val="24"/>
        </w:rPr>
        <w:t>前項與關係人之交易，應於年度結束後將下列</w:t>
      </w:r>
      <w:proofErr w:type="gramStart"/>
      <w:r w:rsidRPr="0060613C">
        <w:rPr>
          <w:rFonts w:eastAsia="標楷體" w:hint="eastAsia"/>
          <w:szCs w:val="24"/>
        </w:rPr>
        <w:t>事項提最近期</w:t>
      </w:r>
      <w:proofErr w:type="gramEnd"/>
      <w:r w:rsidRPr="0060613C">
        <w:rPr>
          <w:rFonts w:eastAsia="標楷體" w:hint="eastAsia"/>
          <w:szCs w:val="24"/>
        </w:rPr>
        <w:t>股東會報告</w:t>
      </w:r>
      <w:r w:rsidRPr="0060613C">
        <w:rPr>
          <w:rFonts w:eastAsia="標楷體" w:hint="eastAsia"/>
          <w:szCs w:val="24"/>
        </w:rPr>
        <w:t>:</w:t>
      </w:r>
    </w:p>
    <w:p w:rsidR="000B26B9" w:rsidRDefault="0060613C" w:rsidP="00F21C75">
      <w:pPr>
        <w:pStyle w:val="a8"/>
        <w:numPr>
          <w:ilvl w:val="0"/>
          <w:numId w:val="58"/>
        </w:numPr>
        <w:snapToGrid w:val="0"/>
        <w:spacing w:line="240" w:lineRule="auto"/>
        <w:ind w:leftChars="0" w:left="1276" w:rightChars="-14" w:right="-34"/>
        <w:rPr>
          <w:rFonts w:eastAsia="標楷體"/>
          <w:szCs w:val="24"/>
        </w:rPr>
      </w:pPr>
      <w:r w:rsidRPr="000B26B9">
        <w:rPr>
          <w:rFonts w:eastAsia="標楷體" w:hint="eastAsia"/>
          <w:szCs w:val="24"/>
        </w:rPr>
        <w:t>實際交易金額及條件。</w:t>
      </w:r>
    </w:p>
    <w:p w:rsidR="000B26B9" w:rsidRDefault="0060613C" w:rsidP="00487F37">
      <w:pPr>
        <w:pStyle w:val="a8"/>
        <w:numPr>
          <w:ilvl w:val="0"/>
          <w:numId w:val="58"/>
        </w:numPr>
        <w:snapToGrid w:val="0"/>
        <w:spacing w:line="240" w:lineRule="auto"/>
        <w:ind w:leftChars="0" w:left="1276" w:rightChars="-14" w:right="-34"/>
        <w:rPr>
          <w:rFonts w:eastAsia="標楷體"/>
          <w:szCs w:val="24"/>
        </w:rPr>
      </w:pPr>
      <w:r w:rsidRPr="000B26B9">
        <w:rPr>
          <w:rFonts w:eastAsia="標楷體" w:hint="eastAsia"/>
          <w:szCs w:val="24"/>
        </w:rPr>
        <w:t>是否依據董事會通過之交易價格計算原則辦理。</w:t>
      </w:r>
    </w:p>
    <w:p w:rsidR="00C92978" w:rsidRPr="000B26B9" w:rsidRDefault="0060613C" w:rsidP="00494CB0">
      <w:pPr>
        <w:pStyle w:val="a8"/>
        <w:numPr>
          <w:ilvl w:val="0"/>
          <w:numId w:val="58"/>
        </w:numPr>
        <w:snapToGrid w:val="0"/>
        <w:spacing w:line="240" w:lineRule="auto"/>
        <w:ind w:leftChars="0" w:left="1276" w:rightChars="-14" w:right="-34"/>
        <w:rPr>
          <w:rFonts w:eastAsia="標楷體"/>
          <w:szCs w:val="24"/>
        </w:rPr>
      </w:pPr>
      <w:r w:rsidRPr="000B26B9">
        <w:rPr>
          <w:rFonts w:eastAsia="標楷體" w:hint="eastAsia"/>
          <w:szCs w:val="24"/>
        </w:rPr>
        <w:t>是否未逾董事會通過之全年度交易金額上限。如已逾交易金額上限，應說明其原因、必要性及合理性。</w:t>
      </w:r>
    </w:p>
    <w:p w:rsidR="0060613C" w:rsidRPr="0060613C" w:rsidRDefault="0060613C" w:rsidP="00C92978">
      <w:pPr>
        <w:snapToGrid w:val="0"/>
        <w:spacing w:line="240" w:lineRule="auto"/>
        <w:ind w:rightChars="-14" w:right="-34"/>
        <w:rPr>
          <w:rFonts w:eastAsia="標楷體"/>
          <w:szCs w:val="24"/>
        </w:rPr>
      </w:pPr>
    </w:p>
    <w:p w:rsidR="00C92978" w:rsidRPr="004A3A98" w:rsidRDefault="00C92978" w:rsidP="00C92978">
      <w:pPr>
        <w:snapToGrid w:val="0"/>
        <w:spacing w:line="240" w:lineRule="auto"/>
        <w:ind w:rightChars="-14" w:right="-34"/>
        <w:rPr>
          <w:rFonts w:eastAsia="標楷體"/>
          <w:szCs w:val="24"/>
        </w:rPr>
      </w:pPr>
      <w:r w:rsidRPr="004A3A98">
        <w:rPr>
          <w:rFonts w:eastAsia="標楷體" w:hint="eastAsia"/>
          <w:szCs w:val="24"/>
        </w:rPr>
        <w:t>第十條</w:t>
      </w:r>
    </w:p>
    <w:p w:rsidR="00C92978" w:rsidRPr="004A3A98" w:rsidRDefault="00C92978" w:rsidP="00C92978">
      <w:pPr>
        <w:snapToGrid w:val="0"/>
        <w:spacing w:line="240" w:lineRule="auto"/>
        <w:ind w:leftChars="177" w:left="425" w:rightChars="-14" w:right="-34"/>
        <w:rPr>
          <w:rFonts w:eastAsia="標楷體"/>
          <w:szCs w:val="24"/>
        </w:rPr>
      </w:pPr>
      <w:r w:rsidRPr="004A3A98">
        <w:rPr>
          <w:rFonts w:eastAsia="標楷體" w:hint="eastAsia"/>
          <w:szCs w:val="24"/>
        </w:rPr>
        <w:t>本</w:t>
      </w:r>
      <w:r w:rsidRPr="00A95AD8">
        <w:rPr>
          <w:rFonts w:eastAsia="標楷體" w:hint="eastAsia"/>
          <w:szCs w:val="24"/>
        </w:rPr>
        <w:t>公司與關係</w:t>
      </w:r>
      <w:r w:rsidR="00D64EDE" w:rsidRPr="0060613C">
        <w:rPr>
          <w:rFonts w:eastAsia="標楷體" w:hint="eastAsia"/>
          <w:szCs w:val="24"/>
        </w:rPr>
        <w:t>人</w:t>
      </w:r>
      <w:r w:rsidRPr="00A95AD8">
        <w:rPr>
          <w:rFonts w:eastAsia="標楷體" w:hint="eastAsia"/>
          <w:szCs w:val="24"/>
        </w:rPr>
        <w:t>間之資</w:t>
      </w:r>
      <w:r w:rsidRPr="004A3A98">
        <w:rPr>
          <w:rFonts w:eastAsia="標楷體" w:hint="eastAsia"/>
          <w:szCs w:val="24"/>
        </w:rPr>
        <w:t>產交易、衍生性商品交易、進行企業合併、分割、收購或股份受讓，應依照「公開發行公司取得或處分資產處理準則」及本公司所訂取得或處分資產處理程序辦理。</w:t>
      </w:r>
    </w:p>
    <w:p w:rsidR="00C92978" w:rsidRPr="004A3A98" w:rsidRDefault="00C92978" w:rsidP="00C92978">
      <w:pPr>
        <w:snapToGrid w:val="0"/>
        <w:spacing w:line="240" w:lineRule="auto"/>
        <w:ind w:leftChars="177" w:left="425" w:rightChars="-14" w:right="-34"/>
        <w:rPr>
          <w:rFonts w:eastAsia="標楷體"/>
          <w:szCs w:val="24"/>
        </w:rPr>
      </w:pPr>
      <w:r w:rsidRPr="004A3A98">
        <w:rPr>
          <w:rFonts w:eastAsia="標楷體" w:hint="eastAsia"/>
          <w:szCs w:val="24"/>
        </w:rPr>
        <w:t>向關係</w:t>
      </w:r>
      <w:r w:rsidR="00D64EDE" w:rsidRPr="0060613C">
        <w:rPr>
          <w:rFonts w:eastAsia="標楷體" w:hint="eastAsia"/>
          <w:szCs w:val="24"/>
        </w:rPr>
        <w:t>人</w:t>
      </w:r>
      <w:r w:rsidRPr="004A3A98">
        <w:rPr>
          <w:rFonts w:eastAsia="標楷體" w:hint="eastAsia"/>
          <w:szCs w:val="24"/>
        </w:rPr>
        <w:t>取得或處分有價證券，或取得以關係企業為標的之有價證券，應於事實發生日前</w:t>
      </w:r>
      <w:proofErr w:type="gramStart"/>
      <w:r w:rsidRPr="004A3A98">
        <w:rPr>
          <w:rFonts w:eastAsia="標楷體" w:hint="eastAsia"/>
          <w:szCs w:val="24"/>
        </w:rPr>
        <w:t>取具標的</w:t>
      </w:r>
      <w:proofErr w:type="gramEnd"/>
      <w:r w:rsidRPr="004A3A98">
        <w:rPr>
          <w:rFonts w:eastAsia="標楷體" w:hint="eastAsia"/>
          <w:szCs w:val="24"/>
        </w:rPr>
        <w:t>公司最近期經會計師查核簽證或核閱之財務報表作為評估交易價格之參考，另交易金額達公司實收資本額百分之二十、總資產百分之十或新臺幣三億元以上者，應於事實發生日前洽請會計師就交易價格之合理性表示意見。但該有價證券具活絡市場之公開報價或金融監督管理委員會另有規定者，不在此限。</w:t>
      </w:r>
    </w:p>
    <w:p w:rsidR="00C92978" w:rsidRPr="004A3A98" w:rsidRDefault="00C92978" w:rsidP="00C92978">
      <w:pPr>
        <w:snapToGrid w:val="0"/>
        <w:spacing w:line="240" w:lineRule="auto"/>
        <w:ind w:leftChars="177" w:left="425" w:rightChars="-14" w:right="-34"/>
        <w:rPr>
          <w:rFonts w:eastAsia="標楷體"/>
          <w:szCs w:val="24"/>
        </w:rPr>
      </w:pPr>
      <w:r w:rsidRPr="004A3A98">
        <w:rPr>
          <w:rFonts w:eastAsia="標楷體" w:hint="eastAsia"/>
          <w:szCs w:val="24"/>
        </w:rPr>
        <w:t>向關係</w:t>
      </w:r>
      <w:r w:rsidR="007C051E" w:rsidRPr="0060613C">
        <w:rPr>
          <w:rFonts w:eastAsia="標楷體" w:hint="eastAsia"/>
          <w:szCs w:val="24"/>
        </w:rPr>
        <w:t>人</w:t>
      </w:r>
      <w:r w:rsidRPr="004A3A98">
        <w:rPr>
          <w:rFonts w:eastAsia="標楷體" w:hint="eastAsia"/>
          <w:szCs w:val="24"/>
        </w:rPr>
        <w:t>取得或處分無形資產或其使用權資產或會員證交易金額達公司實收資本額百分之二十、總資產百分之十或新臺幣三億元以上者，應於事實發生日前洽請會計師就交易價格之合理性表示意見。</w:t>
      </w:r>
    </w:p>
    <w:p w:rsidR="00C92978" w:rsidRDefault="00C92978" w:rsidP="00C92978">
      <w:pPr>
        <w:snapToGrid w:val="0"/>
        <w:spacing w:line="240" w:lineRule="auto"/>
        <w:ind w:rightChars="-14" w:right="-34"/>
        <w:rPr>
          <w:rFonts w:eastAsia="標楷體"/>
          <w:szCs w:val="24"/>
        </w:rPr>
      </w:pPr>
    </w:p>
    <w:p w:rsidR="00C92978" w:rsidRPr="004A3A98" w:rsidRDefault="00C92978" w:rsidP="00C92978">
      <w:pPr>
        <w:snapToGrid w:val="0"/>
        <w:spacing w:line="240" w:lineRule="auto"/>
        <w:ind w:rightChars="-14" w:right="-34"/>
        <w:rPr>
          <w:rFonts w:eastAsia="標楷體"/>
          <w:szCs w:val="24"/>
        </w:rPr>
      </w:pPr>
      <w:r w:rsidRPr="004A3A98">
        <w:rPr>
          <w:rFonts w:eastAsia="標楷體" w:hint="eastAsia"/>
          <w:szCs w:val="24"/>
        </w:rPr>
        <w:t>第十一條</w:t>
      </w:r>
    </w:p>
    <w:p w:rsidR="00C92978" w:rsidRPr="004A3A98" w:rsidRDefault="00C92978" w:rsidP="00C92978">
      <w:pPr>
        <w:snapToGrid w:val="0"/>
        <w:spacing w:line="240" w:lineRule="auto"/>
        <w:ind w:leftChars="177" w:left="425" w:rightChars="-14" w:right="-34"/>
        <w:rPr>
          <w:rFonts w:eastAsia="標楷體"/>
          <w:szCs w:val="24"/>
        </w:rPr>
      </w:pPr>
      <w:r w:rsidRPr="004A3A98">
        <w:rPr>
          <w:rFonts w:eastAsia="標楷體" w:hint="eastAsia"/>
          <w:szCs w:val="24"/>
        </w:rPr>
        <w:t>本公司向關係</w:t>
      </w:r>
      <w:r w:rsidR="0000795D" w:rsidRPr="0060613C">
        <w:rPr>
          <w:rFonts w:eastAsia="標楷體" w:hint="eastAsia"/>
          <w:szCs w:val="24"/>
        </w:rPr>
        <w:t>人</w:t>
      </w:r>
      <w:r w:rsidRPr="004A3A98">
        <w:rPr>
          <w:rFonts w:eastAsia="標楷體" w:hint="eastAsia"/>
          <w:szCs w:val="24"/>
        </w:rPr>
        <w:t>取得或處分不動產或其使用權資產，或與關係</w:t>
      </w:r>
      <w:r w:rsidR="0000795D" w:rsidRPr="0060613C">
        <w:rPr>
          <w:rFonts w:eastAsia="標楷體" w:hint="eastAsia"/>
          <w:szCs w:val="24"/>
        </w:rPr>
        <w:t>人</w:t>
      </w:r>
      <w:r w:rsidRPr="004A3A98">
        <w:rPr>
          <w:rFonts w:eastAsia="標楷體" w:hint="eastAsia"/>
          <w:szCs w:val="24"/>
        </w:rPr>
        <w:t>取得或處分不動產或其使用權資產外之其他資產且交易金額達公司實收資本額百分之二十、總資產百分之十或新臺幣三億元以上者，除買賣公債、附買回、賣回條件之債券、申購或買回國內證券投資信託事業發行之貨幣市場基金外，應將下列資料提交董事會通過及</w:t>
      </w:r>
      <w:r w:rsidRPr="00FE548F">
        <w:rPr>
          <w:rFonts w:eastAsia="標楷體" w:hint="eastAsia"/>
          <w:szCs w:val="24"/>
        </w:rPr>
        <w:t>經審計委員會全體成員二分之一以上同意</w:t>
      </w:r>
      <w:r>
        <w:rPr>
          <w:rFonts w:eastAsia="標楷體" w:hint="eastAsia"/>
          <w:szCs w:val="24"/>
        </w:rPr>
        <w:t>承認</w:t>
      </w:r>
      <w:r w:rsidRPr="004A3A98">
        <w:rPr>
          <w:rFonts w:eastAsia="標楷體" w:hint="eastAsia"/>
          <w:szCs w:val="24"/>
        </w:rPr>
        <w:t>，始得簽訂交易契約及支付款項：</w:t>
      </w:r>
    </w:p>
    <w:p w:rsidR="00C92978" w:rsidRPr="004A3A98" w:rsidRDefault="00C92978" w:rsidP="00C92978">
      <w:pPr>
        <w:snapToGrid w:val="0"/>
        <w:spacing w:line="240" w:lineRule="auto"/>
        <w:ind w:leftChars="354" w:left="850" w:rightChars="-14" w:right="-34"/>
        <w:rPr>
          <w:rFonts w:eastAsia="標楷體"/>
          <w:szCs w:val="24"/>
        </w:rPr>
      </w:pPr>
      <w:r w:rsidRPr="004A3A98">
        <w:rPr>
          <w:rFonts w:eastAsia="標楷體" w:hint="eastAsia"/>
          <w:szCs w:val="24"/>
        </w:rPr>
        <w:t>一、依</w:t>
      </w:r>
      <w:proofErr w:type="gramStart"/>
      <w:r w:rsidRPr="004A3A98">
        <w:rPr>
          <w:rFonts w:eastAsia="標楷體" w:hint="eastAsia"/>
          <w:szCs w:val="24"/>
        </w:rPr>
        <w:t>規</w:t>
      </w:r>
      <w:proofErr w:type="gramEnd"/>
      <w:r w:rsidRPr="004A3A98">
        <w:rPr>
          <w:rFonts w:eastAsia="標楷體" w:hint="eastAsia"/>
          <w:szCs w:val="24"/>
        </w:rPr>
        <w:t>應取得之專業估價者出具之估價報告，或會計師意見。</w:t>
      </w:r>
    </w:p>
    <w:p w:rsidR="00C92978" w:rsidRPr="004A3A98" w:rsidRDefault="00C92978" w:rsidP="00C92978">
      <w:pPr>
        <w:snapToGrid w:val="0"/>
        <w:spacing w:line="240" w:lineRule="auto"/>
        <w:ind w:leftChars="354" w:left="850" w:rightChars="-14" w:right="-34"/>
        <w:rPr>
          <w:rFonts w:eastAsia="標楷體"/>
          <w:szCs w:val="24"/>
        </w:rPr>
      </w:pPr>
      <w:r w:rsidRPr="004A3A98">
        <w:rPr>
          <w:rFonts w:eastAsia="標楷體" w:hint="eastAsia"/>
          <w:szCs w:val="24"/>
        </w:rPr>
        <w:t>二、取得或處分資產之目的、必要性及預計效益。</w:t>
      </w:r>
    </w:p>
    <w:p w:rsidR="00C92978" w:rsidRPr="004A3A98" w:rsidRDefault="00C92978" w:rsidP="00C92978">
      <w:pPr>
        <w:snapToGrid w:val="0"/>
        <w:spacing w:line="240" w:lineRule="auto"/>
        <w:ind w:leftChars="354" w:left="850" w:rightChars="-14" w:right="-34"/>
        <w:rPr>
          <w:rFonts w:eastAsia="標楷體"/>
          <w:szCs w:val="24"/>
        </w:rPr>
      </w:pPr>
      <w:r w:rsidRPr="004A3A98">
        <w:rPr>
          <w:rFonts w:eastAsia="標楷體" w:hint="eastAsia"/>
          <w:szCs w:val="24"/>
        </w:rPr>
        <w:t>三、選定關係</w:t>
      </w:r>
      <w:r w:rsidR="0000795D" w:rsidRPr="0060613C">
        <w:rPr>
          <w:rFonts w:eastAsia="標楷體" w:hint="eastAsia"/>
          <w:szCs w:val="24"/>
        </w:rPr>
        <w:t>人</w:t>
      </w:r>
      <w:r w:rsidRPr="004A3A98">
        <w:rPr>
          <w:rFonts w:eastAsia="標楷體" w:hint="eastAsia"/>
          <w:szCs w:val="24"/>
        </w:rPr>
        <w:t>為交易對象之原因。</w:t>
      </w:r>
    </w:p>
    <w:p w:rsidR="00C92978" w:rsidRPr="004A3A98" w:rsidRDefault="00C92978" w:rsidP="00C92978">
      <w:pPr>
        <w:snapToGrid w:val="0"/>
        <w:spacing w:line="240" w:lineRule="auto"/>
        <w:ind w:leftChars="355" w:left="1344" w:rightChars="-14" w:right="-34" w:hangingChars="205" w:hanging="492"/>
        <w:rPr>
          <w:rFonts w:eastAsia="標楷體"/>
          <w:szCs w:val="24"/>
        </w:rPr>
      </w:pPr>
      <w:r w:rsidRPr="004A3A98">
        <w:rPr>
          <w:rFonts w:eastAsia="標楷體" w:hint="eastAsia"/>
          <w:szCs w:val="24"/>
        </w:rPr>
        <w:t>四、向關係</w:t>
      </w:r>
      <w:r w:rsidR="0000795D" w:rsidRPr="0060613C">
        <w:rPr>
          <w:rFonts w:eastAsia="標楷體" w:hint="eastAsia"/>
          <w:szCs w:val="24"/>
        </w:rPr>
        <w:t>人</w:t>
      </w:r>
      <w:r w:rsidRPr="004A3A98">
        <w:rPr>
          <w:rFonts w:eastAsia="標楷體" w:hint="eastAsia"/>
          <w:szCs w:val="24"/>
        </w:rPr>
        <w:t>取得不動產，依「公開發行公司取得或處分資產處理準則」第十六條及十七條規定評估預定交易條件合理性之相關資料。</w:t>
      </w:r>
    </w:p>
    <w:p w:rsidR="00C92978" w:rsidRPr="004A3A98" w:rsidRDefault="00C92978" w:rsidP="00D14CB9">
      <w:pPr>
        <w:snapToGrid w:val="0"/>
        <w:spacing w:line="240" w:lineRule="auto"/>
        <w:ind w:leftChars="354" w:left="1330" w:rightChars="-14" w:right="-34" w:hangingChars="200" w:hanging="480"/>
        <w:rPr>
          <w:rFonts w:eastAsia="標楷體"/>
          <w:szCs w:val="24"/>
        </w:rPr>
      </w:pPr>
      <w:r w:rsidRPr="004A3A98">
        <w:rPr>
          <w:rFonts w:eastAsia="標楷體" w:hint="eastAsia"/>
          <w:szCs w:val="24"/>
        </w:rPr>
        <w:lastRenderedPageBreak/>
        <w:t>五、關係</w:t>
      </w:r>
      <w:r w:rsidR="00F10F43" w:rsidRPr="0060613C">
        <w:rPr>
          <w:rFonts w:eastAsia="標楷體" w:hint="eastAsia"/>
          <w:szCs w:val="24"/>
        </w:rPr>
        <w:t>人</w:t>
      </w:r>
      <w:r w:rsidRPr="004A3A98">
        <w:rPr>
          <w:rFonts w:eastAsia="標楷體" w:hint="eastAsia"/>
          <w:szCs w:val="24"/>
        </w:rPr>
        <w:t>原取得日期及價格、交易對象及其與本公司和關係</w:t>
      </w:r>
      <w:r w:rsidR="00F10F43" w:rsidRPr="0060613C">
        <w:rPr>
          <w:rFonts w:eastAsia="標楷體" w:hint="eastAsia"/>
          <w:szCs w:val="24"/>
        </w:rPr>
        <w:t>人</w:t>
      </w:r>
      <w:r w:rsidRPr="004A3A98">
        <w:rPr>
          <w:rFonts w:eastAsia="標楷體" w:hint="eastAsia"/>
          <w:szCs w:val="24"/>
        </w:rPr>
        <w:t>之關係等事項。</w:t>
      </w:r>
    </w:p>
    <w:p w:rsidR="00C92978" w:rsidRPr="004A3A98" w:rsidRDefault="00C92978" w:rsidP="00C92978">
      <w:pPr>
        <w:snapToGrid w:val="0"/>
        <w:spacing w:line="240" w:lineRule="auto"/>
        <w:ind w:leftChars="355" w:left="1344" w:rightChars="-14" w:right="-34" w:hangingChars="205" w:hanging="492"/>
        <w:rPr>
          <w:rFonts w:eastAsia="標楷體"/>
          <w:szCs w:val="24"/>
        </w:rPr>
      </w:pPr>
      <w:r w:rsidRPr="004A3A98">
        <w:rPr>
          <w:rFonts w:eastAsia="標楷體" w:hint="eastAsia"/>
          <w:szCs w:val="24"/>
        </w:rPr>
        <w:t>六、預計訂約月份開始之未來一年各月份現金收支預測表、並評估交易之必要性及資金運用之合理性。</w:t>
      </w:r>
    </w:p>
    <w:p w:rsidR="00C92978" w:rsidRPr="004A3A98" w:rsidRDefault="00C92978" w:rsidP="00C92978">
      <w:pPr>
        <w:snapToGrid w:val="0"/>
        <w:spacing w:line="240" w:lineRule="auto"/>
        <w:ind w:leftChars="354" w:left="850" w:rightChars="-14" w:right="-34"/>
        <w:rPr>
          <w:rFonts w:eastAsia="標楷體"/>
          <w:szCs w:val="24"/>
        </w:rPr>
      </w:pPr>
      <w:r w:rsidRPr="004A3A98">
        <w:rPr>
          <w:rFonts w:eastAsia="標楷體" w:hint="eastAsia"/>
          <w:szCs w:val="24"/>
        </w:rPr>
        <w:t>七、本次交易之限制條件及其他重要約定事項。</w:t>
      </w:r>
    </w:p>
    <w:p w:rsidR="00C92978" w:rsidRPr="004A3A98" w:rsidRDefault="00C92978" w:rsidP="00C92978">
      <w:pPr>
        <w:snapToGrid w:val="0"/>
        <w:spacing w:line="240" w:lineRule="auto"/>
        <w:ind w:leftChars="354" w:left="1330" w:rightChars="-14" w:right="-34" w:hangingChars="200" w:hanging="480"/>
        <w:rPr>
          <w:rFonts w:eastAsia="標楷體"/>
          <w:szCs w:val="24"/>
        </w:rPr>
      </w:pPr>
      <w:r w:rsidRPr="004A3A98">
        <w:rPr>
          <w:rFonts w:eastAsia="標楷體" w:hint="eastAsia"/>
          <w:szCs w:val="24"/>
        </w:rPr>
        <w:t>八、委請會計師對關係</w:t>
      </w:r>
      <w:r w:rsidR="007E0B3A" w:rsidRPr="0060613C">
        <w:rPr>
          <w:rFonts w:eastAsia="標楷體" w:hint="eastAsia"/>
          <w:szCs w:val="24"/>
        </w:rPr>
        <w:t>人</w:t>
      </w:r>
      <w:r w:rsidRPr="004A3A98">
        <w:rPr>
          <w:rFonts w:eastAsia="標楷體" w:hint="eastAsia"/>
          <w:szCs w:val="24"/>
        </w:rPr>
        <w:t>交易是否符合一般商業條件及是否不損害本司及其少數股東的利益所出具之意見。</w:t>
      </w:r>
    </w:p>
    <w:p w:rsidR="00C92978" w:rsidRDefault="00C92978" w:rsidP="00C92978">
      <w:pPr>
        <w:snapToGrid w:val="0"/>
        <w:spacing w:line="240" w:lineRule="auto"/>
        <w:ind w:leftChars="175" w:left="420" w:rightChars="-14" w:right="-34"/>
        <w:rPr>
          <w:rFonts w:eastAsia="標楷體"/>
          <w:szCs w:val="24"/>
        </w:rPr>
      </w:pPr>
      <w:r w:rsidRPr="004A3A98">
        <w:rPr>
          <w:rFonts w:eastAsia="標楷體" w:hint="eastAsia"/>
          <w:szCs w:val="24"/>
        </w:rPr>
        <w:t>前項取得或處分不動產、設備或其使用權資產交易金額達本公司實收資本額百分之二十、總資產百分之十或新台幣三億元以上者，應取得專業估價者出具之估價報告，若估價結果與交易金額差距達交易金額之百分之二十以上者，尚應洽請會計師就差異原因及交易價格之允當性表示具體意見，且應由董事會三分之二以上董事出席，出席董事過半數之同意。</w:t>
      </w:r>
    </w:p>
    <w:p w:rsidR="00C92978" w:rsidRDefault="00C92978" w:rsidP="00056A78">
      <w:pPr>
        <w:snapToGrid w:val="0"/>
        <w:spacing w:line="240" w:lineRule="auto"/>
        <w:ind w:leftChars="175" w:left="420" w:rightChars="-14" w:right="-34"/>
        <w:rPr>
          <w:rFonts w:eastAsia="標楷體"/>
          <w:szCs w:val="24"/>
        </w:rPr>
      </w:pPr>
      <w:r w:rsidRPr="004A3A98">
        <w:rPr>
          <w:rFonts w:eastAsia="標楷體" w:hint="eastAsia"/>
          <w:szCs w:val="24"/>
        </w:rPr>
        <w:t>向關係</w:t>
      </w:r>
      <w:r w:rsidR="00056A78" w:rsidRPr="0060613C">
        <w:rPr>
          <w:rFonts w:eastAsia="標楷體" w:hint="eastAsia"/>
          <w:szCs w:val="24"/>
        </w:rPr>
        <w:t>人</w:t>
      </w:r>
      <w:r w:rsidRPr="004A3A98">
        <w:rPr>
          <w:rFonts w:eastAsia="標楷體" w:hint="eastAsia"/>
          <w:szCs w:val="24"/>
        </w:rPr>
        <w:t>取得不動產</w:t>
      </w:r>
      <w:r w:rsidR="00056A78" w:rsidRPr="00056A78">
        <w:rPr>
          <w:rFonts w:eastAsia="標楷體" w:hint="eastAsia"/>
          <w:szCs w:val="24"/>
        </w:rPr>
        <w:t>或其使用權資產</w:t>
      </w:r>
      <w:r w:rsidRPr="004A3A98">
        <w:rPr>
          <w:rFonts w:eastAsia="標楷體" w:hint="eastAsia"/>
          <w:szCs w:val="24"/>
        </w:rPr>
        <w:t>，如實際交易價格較評估交易成本之結果為高，且無法提出客觀證據及取具不動產專業估價者與會計師之具體合理意見時，董事會應充分評估是否損及公司及股東之權益，必要時應拒絕該項交易，</w:t>
      </w:r>
      <w:r w:rsidRPr="001F0E4C">
        <w:rPr>
          <w:rFonts w:eastAsia="標楷體" w:hint="eastAsia"/>
          <w:szCs w:val="24"/>
        </w:rPr>
        <w:t>審計委員會</w:t>
      </w:r>
      <w:r w:rsidRPr="004A3A98">
        <w:rPr>
          <w:rFonts w:eastAsia="標楷體" w:hint="eastAsia"/>
          <w:szCs w:val="24"/>
        </w:rPr>
        <w:t>亦應執行其監察權，必要時應即通知董事會停止其行為。</w:t>
      </w:r>
    </w:p>
    <w:p w:rsidR="00C92978" w:rsidRDefault="00C92978" w:rsidP="00C92978">
      <w:pPr>
        <w:snapToGrid w:val="0"/>
        <w:spacing w:line="240" w:lineRule="auto"/>
        <w:ind w:leftChars="175" w:left="420" w:rightChars="-14" w:right="-34"/>
        <w:rPr>
          <w:rFonts w:eastAsia="標楷體"/>
          <w:szCs w:val="24"/>
        </w:rPr>
      </w:pPr>
      <w:r w:rsidRPr="004A3A98">
        <w:rPr>
          <w:rFonts w:eastAsia="標楷體" w:hint="eastAsia"/>
          <w:szCs w:val="24"/>
        </w:rPr>
        <w:t>如董事會通過且</w:t>
      </w:r>
      <w:r w:rsidRPr="001F0E4C">
        <w:rPr>
          <w:rFonts w:eastAsia="標楷體" w:hint="eastAsia"/>
          <w:szCs w:val="24"/>
        </w:rPr>
        <w:t>經審計委員會全體成員二分之一以上同意</w:t>
      </w:r>
      <w:r w:rsidRPr="004A3A98">
        <w:rPr>
          <w:rFonts w:eastAsia="標楷體" w:hint="eastAsia"/>
          <w:szCs w:val="24"/>
        </w:rPr>
        <w:t>承認前項交易時，本公司除應將交易價格與評估成本間之差額提列特別盈餘公積，不得予以分派或轉增資配股外，尚須將上開交易之處理情形提報股東會，並將交易詳細內容揭露於年報及公開說明書。</w:t>
      </w:r>
    </w:p>
    <w:p w:rsidR="00C92978" w:rsidRPr="004A3A98" w:rsidRDefault="00C92978" w:rsidP="007B12DB">
      <w:pPr>
        <w:snapToGrid w:val="0"/>
        <w:spacing w:line="240" w:lineRule="auto"/>
        <w:ind w:leftChars="175" w:left="420" w:rightChars="-14" w:right="-34"/>
        <w:rPr>
          <w:rFonts w:eastAsia="標楷體"/>
          <w:szCs w:val="24"/>
        </w:rPr>
      </w:pPr>
      <w:r w:rsidRPr="004A3A98">
        <w:rPr>
          <w:rFonts w:eastAsia="標楷體" w:hint="eastAsia"/>
          <w:szCs w:val="24"/>
        </w:rPr>
        <w:t>關係</w:t>
      </w:r>
      <w:r w:rsidR="0024649F" w:rsidRPr="0024649F">
        <w:rPr>
          <w:rFonts w:eastAsia="標楷體" w:hint="eastAsia"/>
          <w:szCs w:val="24"/>
        </w:rPr>
        <w:t>人</w:t>
      </w:r>
      <w:r w:rsidRPr="004A3A98">
        <w:rPr>
          <w:rFonts w:eastAsia="標楷體" w:hint="eastAsia"/>
          <w:szCs w:val="24"/>
        </w:rPr>
        <w:t>交易有下列情事，經董事會通過後，仍應</w:t>
      </w:r>
      <w:r w:rsidR="007B12DB" w:rsidRPr="007B12DB">
        <w:rPr>
          <w:rFonts w:eastAsia="標楷體" w:hint="eastAsia"/>
          <w:szCs w:val="24"/>
        </w:rPr>
        <w:t>將第一項各款資料</w:t>
      </w:r>
      <w:r w:rsidR="00D2215B">
        <w:rPr>
          <w:rFonts w:eastAsia="標楷體" w:hint="eastAsia"/>
          <w:szCs w:val="24"/>
        </w:rPr>
        <w:t>提股東會決議通過，且</w:t>
      </w:r>
      <w:r w:rsidR="00D2215B" w:rsidRPr="00D2215B">
        <w:rPr>
          <w:rFonts w:eastAsia="標楷體" w:hint="eastAsia"/>
          <w:szCs w:val="24"/>
        </w:rPr>
        <w:t>有自身利害關係之股東不</w:t>
      </w:r>
      <w:r w:rsidRPr="004A3A98">
        <w:rPr>
          <w:rFonts w:eastAsia="標楷體" w:hint="eastAsia"/>
          <w:szCs w:val="24"/>
        </w:rPr>
        <w:t>得參與表決：</w:t>
      </w:r>
    </w:p>
    <w:p w:rsidR="009B7655" w:rsidRPr="009B7655" w:rsidRDefault="00C92978" w:rsidP="00781556">
      <w:pPr>
        <w:pStyle w:val="a8"/>
        <w:numPr>
          <w:ilvl w:val="0"/>
          <w:numId w:val="60"/>
        </w:numPr>
        <w:snapToGrid w:val="0"/>
        <w:spacing w:line="240" w:lineRule="auto"/>
        <w:ind w:leftChars="0" w:rightChars="-14" w:right="-34"/>
        <w:rPr>
          <w:rFonts w:eastAsia="標楷體"/>
          <w:szCs w:val="24"/>
        </w:rPr>
      </w:pPr>
      <w:r w:rsidRPr="009B7655">
        <w:rPr>
          <w:rFonts w:eastAsia="標楷體" w:hint="eastAsia"/>
          <w:szCs w:val="24"/>
        </w:rPr>
        <w:t>交易金額</w:t>
      </w:r>
      <w:r w:rsidR="009B7655" w:rsidRPr="009B7655">
        <w:rPr>
          <w:rFonts w:eastAsia="標楷體" w:hint="eastAsia"/>
          <w:szCs w:val="24"/>
        </w:rPr>
        <w:t>、本公司或本公司非屬國內公開發行之子公司有第一項交易，且交易金額達本公司總資產百分之十以上者。</w:t>
      </w:r>
    </w:p>
    <w:p w:rsidR="00C92978" w:rsidRPr="009B7655" w:rsidRDefault="009B7655" w:rsidP="00FD39BB">
      <w:pPr>
        <w:pStyle w:val="a8"/>
        <w:numPr>
          <w:ilvl w:val="0"/>
          <w:numId w:val="60"/>
        </w:numPr>
        <w:snapToGrid w:val="0"/>
        <w:spacing w:line="240" w:lineRule="auto"/>
        <w:ind w:leftChars="0" w:rightChars="-14" w:right="-34"/>
        <w:rPr>
          <w:rFonts w:eastAsia="標楷體"/>
          <w:szCs w:val="24"/>
        </w:rPr>
      </w:pPr>
      <w:r w:rsidRPr="009B7655">
        <w:rPr>
          <w:rFonts w:eastAsia="標楷體" w:hint="eastAsia"/>
          <w:szCs w:val="24"/>
        </w:rPr>
        <w:t>依公司法、本公司章程或內部作業程序規定，交易金額、條件對公司營運或股東權益有重大影響者</w:t>
      </w:r>
      <w:r w:rsidR="00C92978" w:rsidRPr="009B7655">
        <w:rPr>
          <w:rFonts w:eastAsia="標楷體" w:hint="eastAsia"/>
          <w:szCs w:val="24"/>
        </w:rPr>
        <w:t>。</w:t>
      </w:r>
    </w:p>
    <w:p w:rsidR="00C92978" w:rsidRDefault="00D115ED" w:rsidP="00C92978">
      <w:pPr>
        <w:snapToGrid w:val="0"/>
        <w:spacing w:line="240" w:lineRule="auto"/>
        <w:ind w:leftChars="186" w:left="446" w:rightChars="-14" w:right="-34"/>
        <w:rPr>
          <w:rFonts w:eastAsia="標楷體"/>
          <w:szCs w:val="24"/>
        </w:rPr>
      </w:pPr>
      <w:r w:rsidRPr="00D115ED">
        <w:rPr>
          <w:rFonts w:eastAsia="標楷體" w:hint="eastAsia"/>
          <w:szCs w:val="24"/>
        </w:rPr>
        <w:t>本公司與關係人有第一項交易者，應於年度結束後將實際交易情形</w:t>
      </w:r>
      <w:r w:rsidRPr="00D115ED">
        <w:rPr>
          <w:rFonts w:eastAsia="標楷體" w:hint="eastAsia"/>
          <w:szCs w:val="24"/>
        </w:rPr>
        <w:t>(</w:t>
      </w:r>
      <w:r w:rsidRPr="00D115ED">
        <w:rPr>
          <w:rFonts w:eastAsia="標楷體" w:hint="eastAsia"/>
          <w:szCs w:val="24"/>
        </w:rPr>
        <w:t>含實際交易金額、交易條件及第一項各款資料等</w:t>
      </w:r>
      <w:r w:rsidRPr="00D115ED">
        <w:rPr>
          <w:rFonts w:eastAsia="標楷體" w:hint="eastAsia"/>
          <w:szCs w:val="24"/>
        </w:rPr>
        <w:t>)</w:t>
      </w:r>
      <w:proofErr w:type="gramStart"/>
      <w:r w:rsidRPr="00D115ED">
        <w:rPr>
          <w:rFonts w:eastAsia="標楷體" w:hint="eastAsia"/>
          <w:szCs w:val="24"/>
        </w:rPr>
        <w:t>提最近期</w:t>
      </w:r>
      <w:proofErr w:type="gramEnd"/>
      <w:r w:rsidRPr="00D115ED">
        <w:rPr>
          <w:rFonts w:eastAsia="標楷體" w:hint="eastAsia"/>
          <w:szCs w:val="24"/>
        </w:rPr>
        <w:t>股東會報告。</w:t>
      </w:r>
      <w:r w:rsidRPr="00D115ED">
        <w:rPr>
          <w:rFonts w:eastAsia="標楷體"/>
          <w:szCs w:val="24"/>
        </w:rPr>
        <w:cr/>
      </w:r>
      <w:r w:rsidR="00C92978" w:rsidRPr="004A3A98">
        <w:rPr>
          <w:rFonts w:eastAsia="標楷體" w:hint="eastAsia"/>
          <w:szCs w:val="24"/>
        </w:rPr>
        <w:t>依本條規定應經審計委員會全體成員二分之一以上同意，並提董事會決議</w:t>
      </w:r>
      <w:r w:rsidR="00C92978">
        <w:rPr>
          <w:rFonts w:eastAsia="標楷體" w:hint="eastAsia"/>
          <w:szCs w:val="24"/>
        </w:rPr>
        <w:t>之</w:t>
      </w:r>
      <w:r w:rsidR="00C92978" w:rsidRPr="004A3A98">
        <w:rPr>
          <w:rFonts w:eastAsia="標楷體" w:hint="eastAsia"/>
          <w:szCs w:val="24"/>
        </w:rPr>
        <w:t>承認事項，</w:t>
      </w:r>
      <w:proofErr w:type="gramStart"/>
      <w:r w:rsidR="00C92978" w:rsidRPr="004A3A98">
        <w:rPr>
          <w:rFonts w:eastAsia="標楷體" w:hint="eastAsia"/>
          <w:szCs w:val="24"/>
        </w:rPr>
        <w:t>準</w:t>
      </w:r>
      <w:proofErr w:type="gramEnd"/>
      <w:r w:rsidR="00C92978" w:rsidRPr="004A3A98">
        <w:rPr>
          <w:rFonts w:eastAsia="標楷體" w:hint="eastAsia"/>
          <w:szCs w:val="24"/>
        </w:rPr>
        <w:t>用「公開發行公司取得或處分資產處理準則」第六條第四項及第五項規定。</w:t>
      </w:r>
    </w:p>
    <w:p w:rsidR="00C92978" w:rsidRPr="00A5104C" w:rsidRDefault="00C92978" w:rsidP="00C92978">
      <w:pPr>
        <w:snapToGrid w:val="0"/>
        <w:spacing w:line="240" w:lineRule="auto"/>
        <w:ind w:leftChars="186" w:left="446" w:rightChars="-14" w:right="-34"/>
        <w:rPr>
          <w:rFonts w:eastAsia="標楷體"/>
          <w:szCs w:val="24"/>
        </w:rPr>
      </w:pPr>
    </w:p>
    <w:p w:rsidR="00C92978" w:rsidRPr="004A3A98" w:rsidRDefault="00C92978" w:rsidP="00C92978">
      <w:pPr>
        <w:snapToGrid w:val="0"/>
        <w:spacing w:line="240" w:lineRule="auto"/>
        <w:ind w:rightChars="-14" w:right="-34"/>
        <w:rPr>
          <w:rFonts w:eastAsia="標楷體"/>
          <w:szCs w:val="24"/>
        </w:rPr>
      </w:pPr>
      <w:r w:rsidRPr="004A3A98">
        <w:rPr>
          <w:rFonts w:eastAsia="標楷體" w:hint="eastAsia"/>
          <w:szCs w:val="24"/>
        </w:rPr>
        <w:t>第十二條</w:t>
      </w:r>
    </w:p>
    <w:p w:rsidR="00C92978" w:rsidRPr="004A3A98" w:rsidRDefault="00C92978" w:rsidP="00C92978">
      <w:pPr>
        <w:snapToGrid w:val="0"/>
        <w:spacing w:line="240" w:lineRule="auto"/>
        <w:ind w:leftChars="192" w:left="461" w:rightChars="-14" w:right="-34"/>
        <w:rPr>
          <w:rFonts w:eastAsia="標楷體"/>
          <w:szCs w:val="24"/>
        </w:rPr>
      </w:pPr>
      <w:r w:rsidRPr="004A3A98">
        <w:rPr>
          <w:rFonts w:eastAsia="標楷體" w:hint="eastAsia"/>
          <w:szCs w:val="24"/>
        </w:rPr>
        <w:t>與關係</w:t>
      </w:r>
      <w:r w:rsidR="0053737E" w:rsidRPr="00D115ED">
        <w:rPr>
          <w:rFonts w:eastAsia="標楷體" w:hint="eastAsia"/>
          <w:szCs w:val="24"/>
        </w:rPr>
        <w:t>人</w:t>
      </w:r>
      <w:r w:rsidRPr="004A3A98">
        <w:rPr>
          <w:rFonts w:eastAsia="標楷體" w:hint="eastAsia"/>
          <w:szCs w:val="24"/>
        </w:rPr>
        <w:t>間財務業務往來須經董事會決議者，應充分考量各獨立董事之意見，並將其同意或反對之明確意見及反對之理由列入董事會紀錄。</w:t>
      </w:r>
    </w:p>
    <w:p w:rsidR="00C92978" w:rsidRPr="004A3A98" w:rsidRDefault="00C92978" w:rsidP="00C92978">
      <w:pPr>
        <w:snapToGrid w:val="0"/>
        <w:spacing w:line="240" w:lineRule="auto"/>
        <w:ind w:leftChars="192" w:left="461" w:rightChars="-14" w:right="-34"/>
        <w:rPr>
          <w:rFonts w:eastAsia="標楷體"/>
          <w:szCs w:val="24"/>
        </w:rPr>
      </w:pPr>
      <w:r w:rsidRPr="004A3A98">
        <w:rPr>
          <w:rFonts w:eastAsia="標楷體" w:hint="eastAsia"/>
          <w:szCs w:val="24"/>
        </w:rPr>
        <w:t>董事對於會議之事項，與其自身或其代表之法人有利害關係，致有害於公司利益之虞者，應自行迴避，不得加入討論及表決，亦不得代理其他董事行使其表決權。</w:t>
      </w:r>
      <w:proofErr w:type="gramStart"/>
      <w:r w:rsidRPr="004A3A98">
        <w:rPr>
          <w:rFonts w:eastAsia="標楷體" w:hint="eastAsia"/>
          <w:szCs w:val="24"/>
        </w:rPr>
        <w:t>董事間應自律</w:t>
      </w:r>
      <w:proofErr w:type="gramEnd"/>
      <w:r w:rsidRPr="004A3A98">
        <w:rPr>
          <w:rFonts w:eastAsia="標楷體" w:hint="eastAsia"/>
          <w:szCs w:val="24"/>
        </w:rPr>
        <w:t>，不得不當相互支援。</w:t>
      </w:r>
    </w:p>
    <w:p w:rsidR="00C92978" w:rsidRDefault="00C92978" w:rsidP="00C92978">
      <w:pPr>
        <w:snapToGrid w:val="0"/>
        <w:spacing w:line="240" w:lineRule="auto"/>
        <w:ind w:leftChars="192" w:left="461" w:rightChars="-14" w:right="-34"/>
        <w:rPr>
          <w:rFonts w:eastAsia="標楷體"/>
          <w:szCs w:val="24"/>
        </w:rPr>
      </w:pPr>
      <w:r w:rsidRPr="004A3A98">
        <w:rPr>
          <w:rFonts w:eastAsia="標楷體" w:hint="eastAsia"/>
          <w:szCs w:val="24"/>
        </w:rPr>
        <w:t>董事之配偶、二親等內血親，或與董事具有控制從屬關係之公司，就前項會議之事項有利害關係者，視為董事就該事項有自身利害關係。</w:t>
      </w:r>
      <w:r w:rsidRPr="006C0C90">
        <w:rPr>
          <w:rFonts w:eastAsia="標楷體" w:hint="eastAsia"/>
          <w:szCs w:val="24"/>
        </w:rPr>
        <w:t>審計委員</w:t>
      </w:r>
      <w:r w:rsidRPr="006C0C90">
        <w:rPr>
          <w:rFonts w:eastAsia="標楷體" w:hint="eastAsia"/>
          <w:szCs w:val="24"/>
        </w:rPr>
        <w:lastRenderedPageBreak/>
        <w:t>會</w:t>
      </w:r>
      <w:r w:rsidRPr="004A3A98">
        <w:rPr>
          <w:rFonts w:eastAsia="標楷體" w:hint="eastAsia"/>
          <w:szCs w:val="24"/>
        </w:rPr>
        <w:t>對於董事會或董事執行業務有違反法令、章程或股東會決議時，應即通知董事會或董事停止其行為，並</w:t>
      </w:r>
      <w:proofErr w:type="gramStart"/>
      <w:r w:rsidRPr="004A3A98">
        <w:rPr>
          <w:rFonts w:eastAsia="標楷體" w:hint="eastAsia"/>
          <w:szCs w:val="24"/>
        </w:rPr>
        <w:t>採</w:t>
      </w:r>
      <w:proofErr w:type="gramEnd"/>
      <w:r w:rsidRPr="004A3A98">
        <w:rPr>
          <w:rFonts w:eastAsia="標楷體" w:hint="eastAsia"/>
          <w:szCs w:val="24"/>
        </w:rPr>
        <w:t>行適當措施以防止弊端擴大，必要時並應向相關主管機關或單位舉發。</w:t>
      </w:r>
    </w:p>
    <w:p w:rsidR="00C92978" w:rsidRPr="00A5104C" w:rsidRDefault="00C92978" w:rsidP="00C92978">
      <w:pPr>
        <w:snapToGrid w:val="0"/>
        <w:spacing w:line="240" w:lineRule="auto"/>
        <w:ind w:leftChars="192" w:left="461" w:rightChars="-14" w:right="-34"/>
        <w:rPr>
          <w:rFonts w:eastAsia="標楷體"/>
          <w:szCs w:val="24"/>
        </w:rPr>
      </w:pPr>
    </w:p>
    <w:p w:rsidR="00C92978" w:rsidRPr="004A3A98" w:rsidRDefault="00C92978" w:rsidP="00C92978">
      <w:pPr>
        <w:snapToGrid w:val="0"/>
        <w:spacing w:line="240" w:lineRule="auto"/>
        <w:ind w:rightChars="-14" w:right="-34"/>
        <w:rPr>
          <w:rFonts w:eastAsia="標楷體"/>
          <w:szCs w:val="24"/>
        </w:rPr>
      </w:pPr>
      <w:r w:rsidRPr="004A3A98">
        <w:rPr>
          <w:rFonts w:eastAsia="標楷體" w:hint="eastAsia"/>
          <w:szCs w:val="24"/>
        </w:rPr>
        <w:t>第十三條</w:t>
      </w:r>
    </w:p>
    <w:p w:rsidR="00C92978" w:rsidRPr="004A3A98" w:rsidRDefault="00C92978" w:rsidP="00C92978">
      <w:pPr>
        <w:snapToGrid w:val="0"/>
        <w:spacing w:line="240" w:lineRule="auto"/>
        <w:ind w:leftChars="192" w:left="461" w:rightChars="-14" w:right="-34"/>
        <w:rPr>
          <w:rFonts w:eastAsia="標楷體"/>
          <w:szCs w:val="24"/>
        </w:rPr>
      </w:pPr>
      <w:r w:rsidRPr="004A3A98">
        <w:rPr>
          <w:rFonts w:eastAsia="標楷體" w:hint="eastAsia"/>
          <w:szCs w:val="24"/>
        </w:rPr>
        <w:t>本公司應配合法令規定之應公告或申報事項及其時限，及時安排各子公司提供必要之財務、業務資訊，或委託會計師進行查核或核閱各子公司之財務報告。</w:t>
      </w:r>
    </w:p>
    <w:p w:rsidR="00C92978" w:rsidRPr="004A3A98" w:rsidRDefault="00C92978" w:rsidP="00C92978">
      <w:pPr>
        <w:snapToGrid w:val="0"/>
        <w:spacing w:line="240" w:lineRule="auto"/>
        <w:ind w:leftChars="192" w:left="461" w:rightChars="-14" w:right="-34"/>
        <w:rPr>
          <w:rFonts w:eastAsia="標楷體"/>
          <w:szCs w:val="24"/>
        </w:rPr>
      </w:pPr>
      <w:r w:rsidRPr="004A3A98">
        <w:rPr>
          <w:rFonts w:eastAsia="標楷體" w:hint="eastAsia"/>
          <w:szCs w:val="24"/>
        </w:rPr>
        <w:t>本公司應依法令規定之年度財務報告申報期限公告關係企業合併資產負債表、關係企業合併綜合損益表及會計師複核報告書，關係企業有增減異動時，應於異動二日內向臺灣證券交易所或中華民國證券櫃檯買賣中心申報異動資料。</w:t>
      </w:r>
    </w:p>
    <w:p w:rsidR="00C92978" w:rsidRDefault="00C92978" w:rsidP="00C92978">
      <w:pPr>
        <w:snapToGrid w:val="0"/>
        <w:spacing w:line="240" w:lineRule="auto"/>
        <w:ind w:leftChars="192" w:left="461" w:rightChars="-14" w:right="-34"/>
        <w:rPr>
          <w:rFonts w:eastAsia="標楷體"/>
          <w:szCs w:val="24"/>
        </w:rPr>
      </w:pPr>
      <w:r w:rsidRPr="004A3A98">
        <w:rPr>
          <w:rFonts w:eastAsia="標楷體" w:hint="eastAsia"/>
          <w:szCs w:val="24"/>
        </w:rPr>
        <w:t>本公司與關係</w:t>
      </w:r>
      <w:r w:rsidR="0053737E" w:rsidRPr="00D115ED">
        <w:rPr>
          <w:rFonts w:eastAsia="標楷體" w:hint="eastAsia"/>
          <w:szCs w:val="24"/>
        </w:rPr>
        <w:t>人</w:t>
      </w:r>
      <w:r w:rsidRPr="004A3A98">
        <w:rPr>
          <w:rFonts w:eastAsia="標楷體" w:hint="eastAsia"/>
          <w:szCs w:val="24"/>
        </w:rPr>
        <w:t>間之重大交易事項，應於年報、財務報表、關係企業三書表及公開說明書中充分揭露。</w:t>
      </w:r>
    </w:p>
    <w:p w:rsidR="00C92978" w:rsidRDefault="00C92978" w:rsidP="00C92978">
      <w:pPr>
        <w:snapToGrid w:val="0"/>
        <w:spacing w:line="240" w:lineRule="auto"/>
        <w:ind w:leftChars="192" w:left="461" w:rightChars="-14" w:right="-34"/>
        <w:rPr>
          <w:rFonts w:eastAsia="標楷體"/>
          <w:szCs w:val="24"/>
        </w:rPr>
      </w:pPr>
      <w:r w:rsidRPr="004A3A98">
        <w:rPr>
          <w:rFonts w:eastAsia="標楷體" w:hint="eastAsia"/>
          <w:szCs w:val="24"/>
        </w:rPr>
        <w:t>關係</w:t>
      </w:r>
      <w:r w:rsidR="0053737E" w:rsidRPr="00D115ED">
        <w:rPr>
          <w:rFonts w:eastAsia="標楷體" w:hint="eastAsia"/>
          <w:szCs w:val="24"/>
        </w:rPr>
        <w:t>人</w:t>
      </w:r>
      <w:r w:rsidRPr="004A3A98">
        <w:rPr>
          <w:rFonts w:eastAsia="標楷體" w:hint="eastAsia"/>
          <w:szCs w:val="24"/>
        </w:rPr>
        <w:t>如發生財務週轉困難之情事時，本公司應取得其財務報表及相關資料，以評估其對本公司財務、業務或營運之影響，必要時，應對本公司之債權採行適當之保全措施。有上開情事時，除於年報及公開說明書中列明其對本公司財務狀況之影響外，尚應即時於公開資訊觀測站發布重大訊息。</w:t>
      </w:r>
    </w:p>
    <w:p w:rsidR="00C92978" w:rsidRPr="00A5104C" w:rsidRDefault="00C92978" w:rsidP="00C92978">
      <w:pPr>
        <w:snapToGrid w:val="0"/>
        <w:spacing w:line="240" w:lineRule="auto"/>
        <w:ind w:leftChars="192" w:left="461" w:rightChars="-14" w:right="-34"/>
        <w:rPr>
          <w:rFonts w:eastAsia="標楷體"/>
          <w:szCs w:val="24"/>
        </w:rPr>
      </w:pPr>
    </w:p>
    <w:p w:rsidR="00C92978" w:rsidRPr="004A3A98" w:rsidRDefault="00C92978" w:rsidP="00C92978">
      <w:pPr>
        <w:snapToGrid w:val="0"/>
        <w:spacing w:line="240" w:lineRule="auto"/>
        <w:ind w:rightChars="-14" w:right="-34"/>
        <w:rPr>
          <w:rFonts w:eastAsia="標楷體"/>
          <w:szCs w:val="24"/>
        </w:rPr>
      </w:pPr>
      <w:r w:rsidRPr="004A3A98">
        <w:rPr>
          <w:rFonts w:eastAsia="標楷體" w:hint="eastAsia"/>
          <w:szCs w:val="24"/>
        </w:rPr>
        <w:t>第十四條</w:t>
      </w:r>
    </w:p>
    <w:p w:rsidR="00C92978" w:rsidRPr="004A3A98" w:rsidRDefault="00C92978" w:rsidP="00C92978">
      <w:pPr>
        <w:snapToGrid w:val="0"/>
        <w:spacing w:line="240" w:lineRule="auto"/>
        <w:ind w:leftChars="177" w:left="425" w:rightChars="-14" w:right="-34"/>
        <w:rPr>
          <w:rFonts w:eastAsia="標楷體"/>
          <w:szCs w:val="24"/>
        </w:rPr>
      </w:pPr>
      <w:r w:rsidRPr="004A3A98">
        <w:rPr>
          <w:rFonts w:eastAsia="標楷體" w:hint="eastAsia"/>
          <w:szCs w:val="24"/>
        </w:rPr>
        <w:t>本公司之關係企業有下列各項情事時，</w:t>
      </w:r>
      <w:proofErr w:type="gramStart"/>
      <w:r w:rsidRPr="004A3A98">
        <w:rPr>
          <w:rFonts w:eastAsia="標楷體" w:hint="eastAsia"/>
          <w:szCs w:val="24"/>
        </w:rPr>
        <w:t>本公司應代為</w:t>
      </w:r>
      <w:proofErr w:type="gramEnd"/>
      <w:r w:rsidRPr="004A3A98">
        <w:rPr>
          <w:rFonts w:eastAsia="標楷體" w:hint="eastAsia"/>
          <w:szCs w:val="24"/>
        </w:rPr>
        <w:t>公告申報相關訊息：</w:t>
      </w:r>
    </w:p>
    <w:p w:rsidR="00C92978" w:rsidRDefault="00C92978" w:rsidP="00C92978">
      <w:pPr>
        <w:snapToGrid w:val="0"/>
        <w:spacing w:line="240" w:lineRule="auto"/>
        <w:ind w:leftChars="354" w:left="1330" w:rightChars="-14" w:right="-34" w:hangingChars="200" w:hanging="480"/>
        <w:rPr>
          <w:rFonts w:eastAsia="標楷體"/>
          <w:szCs w:val="24"/>
        </w:rPr>
      </w:pPr>
      <w:r w:rsidRPr="004A3A98">
        <w:rPr>
          <w:rFonts w:eastAsia="標楷體" w:hint="eastAsia"/>
          <w:szCs w:val="24"/>
        </w:rPr>
        <w:t>一、股票未於國內公開發行之子公司，如其取得或處分資產、辦理背書保證、資金貸予他人之金額達公告申報之標準者。</w:t>
      </w:r>
    </w:p>
    <w:p w:rsidR="00C92978" w:rsidRDefault="00C92978" w:rsidP="00C92978">
      <w:pPr>
        <w:snapToGrid w:val="0"/>
        <w:spacing w:line="240" w:lineRule="auto"/>
        <w:ind w:leftChars="354" w:left="1301" w:rightChars="-14" w:right="-34" w:hangingChars="188" w:hanging="451"/>
        <w:rPr>
          <w:rFonts w:eastAsia="標楷體"/>
          <w:szCs w:val="24"/>
        </w:rPr>
      </w:pPr>
      <w:r w:rsidRPr="004A3A98">
        <w:rPr>
          <w:rFonts w:eastAsia="標楷體" w:hint="eastAsia"/>
          <w:szCs w:val="24"/>
        </w:rPr>
        <w:t>二、母公司或子公司依相關法令進行破產或重整程序之相關事項。</w:t>
      </w:r>
    </w:p>
    <w:p w:rsidR="00C92978" w:rsidRDefault="00C92978" w:rsidP="00C92978">
      <w:pPr>
        <w:snapToGrid w:val="0"/>
        <w:spacing w:line="240" w:lineRule="auto"/>
        <w:ind w:leftChars="354" w:left="1330" w:rightChars="-14" w:right="-34" w:hangingChars="200" w:hanging="480"/>
        <w:rPr>
          <w:rFonts w:eastAsia="標楷體"/>
          <w:szCs w:val="24"/>
        </w:rPr>
      </w:pPr>
      <w:r w:rsidRPr="004A3A98">
        <w:rPr>
          <w:rFonts w:eastAsia="標楷體" w:hint="eastAsia"/>
          <w:szCs w:val="24"/>
        </w:rPr>
        <w:t>三、關係企業經其董事會決議之重大決策，對本公司之股東權益或證券價格有重大影響者。</w:t>
      </w:r>
    </w:p>
    <w:p w:rsidR="00C92978" w:rsidRPr="004A3A98" w:rsidRDefault="00C92978" w:rsidP="00C92978">
      <w:pPr>
        <w:snapToGrid w:val="0"/>
        <w:spacing w:line="240" w:lineRule="auto"/>
        <w:ind w:leftChars="354" w:left="1330" w:rightChars="-14" w:right="-34" w:hangingChars="200" w:hanging="480"/>
        <w:rPr>
          <w:rFonts w:eastAsia="標楷體"/>
          <w:szCs w:val="24"/>
        </w:rPr>
      </w:pPr>
      <w:r w:rsidRPr="004A3A98">
        <w:rPr>
          <w:rFonts w:eastAsia="標楷體" w:hint="eastAsia"/>
          <w:szCs w:val="24"/>
        </w:rPr>
        <w:t>四、本公司之子公司及未上市櫃之母公司如有符合「臺灣證券交易所股份有限公司對有價證券上市公司重大訊息之查證暨公開處理程序」或「財團法人中華民國證券櫃檯買賣中心對上櫃公司重大訊息之查證暨公開處理程序」所規定應發佈之重大訊息者。</w:t>
      </w:r>
    </w:p>
    <w:p w:rsidR="00C92978" w:rsidRPr="004A3A98" w:rsidRDefault="00C92978" w:rsidP="00C92978">
      <w:pPr>
        <w:snapToGrid w:val="0"/>
        <w:spacing w:line="240" w:lineRule="auto"/>
        <w:ind w:leftChars="177" w:left="425" w:rightChars="-14" w:right="-34"/>
        <w:rPr>
          <w:rFonts w:eastAsia="標楷體"/>
          <w:szCs w:val="24"/>
        </w:rPr>
      </w:pPr>
      <w:r w:rsidRPr="004A3A98">
        <w:rPr>
          <w:rFonts w:eastAsia="標楷體" w:hint="eastAsia"/>
          <w:szCs w:val="24"/>
        </w:rPr>
        <w:t>本公司之母公司如為外國公司，本公司應於知悉母公司下列各項事實發生或傳播媒體報導之日起次一營業日交易時間開始前代為申報：</w:t>
      </w:r>
    </w:p>
    <w:p w:rsidR="00C92978" w:rsidRPr="004A3A98" w:rsidRDefault="00C92978" w:rsidP="00C92978">
      <w:pPr>
        <w:snapToGrid w:val="0"/>
        <w:spacing w:line="240" w:lineRule="auto"/>
        <w:ind w:leftChars="354" w:left="850" w:rightChars="-14" w:right="-34"/>
        <w:rPr>
          <w:rFonts w:eastAsia="標楷體"/>
          <w:szCs w:val="24"/>
        </w:rPr>
      </w:pPr>
      <w:r w:rsidRPr="004A3A98">
        <w:rPr>
          <w:rFonts w:eastAsia="標楷體" w:hint="eastAsia"/>
          <w:szCs w:val="24"/>
        </w:rPr>
        <w:t>一、發生重大股權變動者。</w:t>
      </w:r>
    </w:p>
    <w:p w:rsidR="00C92978" w:rsidRPr="004A3A98" w:rsidRDefault="00C92978" w:rsidP="00C92978">
      <w:pPr>
        <w:snapToGrid w:val="0"/>
        <w:spacing w:line="240" w:lineRule="auto"/>
        <w:ind w:leftChars="354" w:left="850" w:rightChars="-14" w:right="-34"/>
        <w:rPr>
          <w:rFonts w:eastAsia="標楷體"/>
          <w:szCs w:val="24"/>
        </w:rPr>
      </w:pPr>
      <w:r w:rsidRPr="004A3A98">
        <w:rPr>
          <w:rFonts w:eastAsia="標楷體" w:hint="eastAsia"/>
          <w:szCs w:val="24"/>
        </w:rPr>
        <w:t>二、營業政策重大改變者。</w:t>
      </w:r>
    </w:p>
    <w:p w:rsidR="00C92978" w:rsidRPr="004A3A98" w:rsidRDefault="00C92978" w:rsidP="00C92978">
      <w:pPr>
        <w:snapToGrid w:val="0"/>
        <w:spacing w:line="240" w:lineRule="auto"/>
        <w:ind w:leftChars="354" w:left="850" w:rightChars="-14" w:right="-34"/>
        <w:rPr>
          <w:rFonts w:eastAsia="標楷體"/>
          <w:szCs w:val="24"/>
        </w:rPr>
      </w:pPr>
      <w:r w:rsidRPr="004A3A98">
        <w:rPr>
          <w:rFonts w:eastAsia="標楷體" w:hint="eastAsia"/>
          <w:szCs w:val="24"/>
        </w:rPr>
        <w:t>三、遭受重大災害致嚴重減產或全部停產者。</w:t>
      </w:r>
    </w:p>
    <w:p w:rsidR="00C92978" w:rsidRPr="004A3A98" w:rsidRDefault="00C92978" w:rsidP="00C92978">
      <w:pPr>
        <w:snapToGrid w:val="0"/>
        <w:spacing w:line="240" w:lineRule="auto"/>
        <w:ind w:leftChars="354" w:left="850" w:rightChars="-14" w:right="-34"/>
        <w:rPr>
          <w:rFonts w:eastAsia="標楷體"/>
          <w:szCs w:val="24"/>
        </w:rPr>
      </w:pPr>
      <w:r w:rsidRPr="004A3A98">
        <w:rPr>
          <w:rFonts w:eastAsia="標楷體" w:hint="eastAsia"/>
          <w:szCs w:val="24"/>
        </w:rPr>
        <w:t>四、因所屬國法令規章變更，致對股東權益或公司營運有重大影響者。</w:t>
      </w:r>
    </w:p>
    <w:p w:rsidR="00C92978" w:rsidRPr="004A3A98" w:rsidRDefault="00C92978" w:rsidP="00EA7E32">
      <w:pPr>
        <w:snapToGrid w:val="0"/>
        <w:spacing w:line="240" w:lineRule="auto"/>
        <w:ind w:leftChars="354" w:left="1330" w:rightChars="-14" w:right="-34" w:hangingChars="200" w:hanging="480"/>
        <w:rPr>
          <w:rFonts w:eastAsia="標楷體"/>
          <w:szCs w:val="24"/>
        </w:rPr>
      </w:pPr>
      <w:r w:rsidRPr="004A3A98">
        <w:rPr>
          <w:rFonts w:eastAsia="標楷體" w:hint="eastAsia"/>
          <w:szCs w:val="24"/>
        </w:rPr>
        <w:t>五、大眾傳播媒體對母公司之報導有足以影響本公司之有價證券行情者。</w:t>
      </w:r>
    </w:p>
    <w:p w:rsidR="00C92978" w:rsidRDefault="00C92978" w:rsidP="00C92978">
      <w:pPr>
        <w:snapToGrid w:val="0"/>
        <w:spacing w:line="240" w:lineRule="auto"/>
        <w:ind w:leftChars="354" w:left="850" w:rightChars="-14" w:right="-34"/>
        <w:rPr>
          <w:rFonts w:eastAsia="標楷體"/>
          <w:szCs w:val="24"/>
        </w:rPr>
      </w:pPr>
      <w:r w:rsidRPr="004A3A98">
        <w:rPr>
          <w:rFonts w:eastAsia="標楷體" w:hint="eastAsia"/>
          <w:szCs w:val="24"/>
        </w:rPr>
        <w:t>六、其他發生依外國公司所屬國法令規定應即時申報之重大情事。</w:t>
      </w:r>
    </w:p>
    <w:p w:rsidR="00C92978" w:rsidRPr="004A3A98" w:rsidRDefault="00C92978" w:rsidP="00C92978">
      <w:pPr>
        <w:snapToGrid w:val="0"/>
        <w:spacing w:line="240" w:lineRule="auto"/>
        <w:ind w:leftChars="354" w:left="850" w:rightChars="-14" w:right="-34"/>
        <w:rPr>
          <w:rFonts w:eastAsia="標楷體"/>
          <w:szCs w:val="24"/>
        </w:rPr>
      </w:pPr>
    </w:p>
    <w:p w:rsidR="00C92978" w:rsidRPr="004A3A98" w:rsidRDefault="00C92978" w:rsidP="00C92978">
      <w:pPr>
        <w:snapToGrid w:val="0"/>
        <w:spacing w:line="240" w:lineRule="auto"/>
        <w:ind w:rightChars="-14" w:right="-34"/>
        <w:rPr>
          <w:rFonts w:eastAsia="標楷體"/>
          <w:szCs w:val="24"/>
        </w:rPr>
      </w:pPr>
      <w:r w:rsidRPr="004A3A98">
        <w:rPr>
          <w:rFonts w:eastAsia="標楷體" w:hint="eastAsia"/>
          <w:szCs w:val="24"/>
        </w:rPr>
        <w:lastRenderedPageBreak/>
        <w:t>第十五條</w:t>
      </w:r>
    </w:p>
    <w:p w:rsidR="00C92978" w:rsidRPr="00711C16" w:rsidRDefault="00C92978" w:rsidP="00C92978">
      <w:pPr>
        <w:snapToGrid w:val="0"/>
        <w:spacing w:line="240" w:lineRule="auto"/>
        <w:ind w:leftChars="177" w:left="425" w:rightChars="-14" w:right="-34"/>
        <w:rPr>
          <w:rFonts w:eastAsia="標楷體"/>
          <w:vanish/>
          <w:szCs w:val="24"/>
        </w:rPr>
      </w:pPr>
      <w:r w:rsidRPr="004A3A98">
        <w:rPr>
          <w:rFonts w:eastAsia="標楷體" w:hint="eastAsia"/>
          <w:szCs w:val="24"/>
        </w:rPr>
        <w:t>本作業規範經董事會通過後實施，修正時亦同。</w:t>
      </w:r>
    </w:p>
    <w:p w:rsidR="0049472E" w:rsidRPr="00C92978" w:rsidRDefault="0049472E" w:rsidP="00C268D3">
      <w:pPr>
        <w:pStyle w:val="aa"/>
        <w:jc w:val="center"/>
        <w:rPr>
          <w:rFonts w:ascii="標楷體" w:eastAsia="標楷體" w:hAnsi="標楷體"/>
        </w:rPr>
      </w:pPr>
    </w:p>
    <w:sectPr w:rsidR="0049472E" w:rsidRPr="00C92978">
      <w:headerReference w:type="default" r:id="rId7"/>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C37" w:rsidRDefault="00D20C37" w:rsidP="00BE6FEF">
      <w:pPr>
        <w:spacing w:line="240" w:lineRule="auto"/>
      </w:pPr>
      <w:r>
        <w:separator/>
      </w:r>
    </w:p>
  </w:endnote>
  <w:endnote w:type="continuationSeparator" w:id="0">
    <w:p w:rsidR="00D20C37" w:rsidRDefault="00D20C37" w:rsidP="00BE6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ACC" w:rsidRDefault="00FE3ACC" w:rsidP="00FE3ACC">
    <w:pPr>
      <w:pStyle w:val="a5"/>
      <w:jc w:val="center"/>
    </w:pPr>
    <w:r>
      <w:rPr>
        <w:rFonts w:ascii="標楷體" w:eastAsia="標楷體" w:hAnsi="標楷體" w:hint="eastAsia"/>
        <w:sz w:val="24"/>
        <w:szCs w:val="24"/>
      </w:rPr>
      <w:t>管制文件，禁止外流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C37" w:rsidRDefault="00D20C37" w:rsidP="00BE6FEF">
      <w:pPr>
        <w:spacing w:line="240" w:lineRule="auto"/>
      </w:pPr>
      <w:r>
        <w:separator/>
      </w:r>
    </w:p>
  </w:footnote>
  <w:footnote w:type="continuationSeparator" w:id="0">
    <w:p w:rsidR="00D20C37" w:rsidRDefault="00D20C37" w:rsidP="00BE6F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Ind w:w="-856" w:type="dxa"/>
      <w:tblLook w:val="04A0" w:firstRow="1" w:lastRow="0" w:firstColumn="1" w:lastColumn="0" w:noHBand="0" w:noVBand="1"/>
    </w:tblPr>
    <w:tblGrid>
      <w:gridCol w:w="1277"/>
      <w:gridCol w:w="5386"/>
      <w:gridCol w:w="1418"/>
      <w:gridCol w:w="1984"/>
    </w:tblGrid>
    <w:tr w:rsidR="00BE6FEF" w:rsidTr="00BE6FEF">
      <w:tc>
        <w:tcPr>
          <w:tcW w:w="6663" w:type="dxa"/>
          <w:gridSpan w:val="2"/>
          <w:vMerge w:val="restart"/>
        </w:tcPr>
        <w:p w:rsidR="00BE6FEF" w:rsidRPr="00BE6FEF" w:rsidRDefault="00BE6FEF" w:rsidP="00BE6FEF">
          <w:pPr>
            <w:rPr>
              <w:rFonts w:eastAsia="標楷體"/>
              <w:b/>
              <w:szCs w:val="24"/>
            </w:rPr>
          </w:pPr>
          <w:r w:rsidRPr="00BE6FEF">
            <w:rPr>
              <w:rFonts w:eastAsia="標楷體"/>
              <w:b/>
              <w:noProof/>
              <w:sz w:val="36"/>
              <w:szCs w:val="36"/>
            </w:rPr>
            <w:drawing>
              <wp:anchor distT="0" distB="0" distL="114300" distR="114300" simplePos="0" relativeHeight="251661312" behindDoc="0" locked="0" layoutInCell="1" allowOverlap="1" wp14:anchorId="3F2DB397" wp14:editId="574F7927">
                <wp:simplePos x="0" y="0"/>
                <wp:positionH relativeFrom="column">
                  <wp:posOffset>-2081</wp:posOffset>
                </wp:positionH>
                <wp:positionV relativeFrom="paragraph">
                  <wp:posOffset>119244</wp:posOffset>
                </wp:positionV>
                <wp:extent cx="1081768" cy="243135"/>
                <wp:effectExtent l="0" t="0" r="4445" b="5080"/>
                <wp:wrapSquare wrapText="bothSides"/>
                <wp:docPr id="3" name="圖片 3" descr="T:\Public\0.Bellwether Logo原始檔\BellWether-Logo_(7.18k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ublic\0.Bellwether Logo原始檔\BellWether-Logo_(7.18kB).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1768" cy="243135"/>
                        </a:xfrm>
                        <a:prstGeom prst="rect">
                          <a:avLst/>
                        </a:prstGeom>
                        <a:noFill/>
                        <a:ln>
                          <a:noFill/>
                        </a:ln>
                      </pic:spPr>
                    </pic:pic>
                  </a:graphicData>
                </a:graphic>
              </wp:anchor>
            </w:drawing>
          </w:r>
          <w:r w:rsidRPr="00BE6FEF">
            <w:rPr>
              <w:rFonts w:eastAsia="標楷體" w:hint="eastAsia"/>
              <w:b/>
              <w:sz w:val="36"/>
              <w:szCs w:val="36"/>
            </w:rPr>
            <w:t xml:space="preserve">  </w:t>
          </w:r>
          <w:r w:rsidRPr="00BE6FEF">
            <w:rPr>
              <w:rFonts w:eastAsia="標楷體" w:hint="eastAsia"/>
              <w:b/>
              <w:szCs w:val="24"/>
            </w:rPr>
            <w:t>貝爾威勒電子股份有限公司</w:t>
          </w:r>
        </w:p>
        <w:p w:rsidR="00BE6FEF" w:rsidRPr="00BE6FEF" w:rsidRDefault="00BE6FEF" w:rsidP="00BE6FEF">
          <w:pPr>
            <w:pStyle w:val="a3"/>
            <w:tabs>
              <w:tab w:val="clear" w:pos="4153"/>
              <w:tab w:val="center" w:pos="6443"/>
            </w:tabs>
            <w:ind w:leftChars="985" w:left="2364"/>
            <w:rPr>
              <w:sz w:val="18"/>
              <w:szCs w:val="18"/>
            </w:rPr>
          </w:pPr>
          <w:r w:rsidRPr="00BE6FEF">
            <w:rPr>
              <w:rFonts w:eastAsia="標楷體"/>
              <w:b/>
              <w:sz w:val="18"/>
              <w:szCs w:val="18"/>
            </w:rPr>
            <w:t>Bellwether Electronic Corporation</w:t>
          </w:r>
        </w:p>
      </w:tc>
      <w:tc>
        <w:tcPr>
          <w:tcW w:w="1418" w:type="dxa"/>
        </w:tcPr>
        <w:p w:rsidR="00BE6FEF" w:rsidRDefault="00BE6FEF" w:rsidP="00BE6FEF">
          <w:pPr>
            <w:pStyle w:val="a3"/>
            <w:jc w:val="center"/>
          </w:pPr>
          <w:r w:rsidRPr="000D53A0">
            <w:rPr>
              <w:rFonts w:ascii="Book Antiqua" w:eastAsia="標楷體" w:hAnsi="Book Antiqua"/>
            </w:rPr>
            <w:t>文件編號</w:t>
          </w:r>
        </w:p>
      </w:tc>
      <w:tc>
        <w:tcPr>
          <w:tcW w:w="1984" w:type="dxa"/>
        </w:tcPr>
        <w:p w:rsidR="00BE6FEF" w:rsidRDefault="00C92978" w:rsidP="00055803">
          <w:pPr>
            <w:pStyle w:val="a3"/>
            <w:jc w:val="center"/>
          </w:pPr>
          <w:r w:rsidRPr="00C92978">
            <w:rPr>
              <w:rFonts w:eastAsia="新細明體"/>
              <w:b/>
              <w:lang w:val="pl-PL"/>
            </w:rPr>
            <w:t>BR-</w:t>
          </w:r>
          <w:r w:rsidR="00055803">
            <w:rPr>
              <w:rFonts w:eastAsia="新細明體"/>
              <w:b/>
              <w:lang w:val="pl-PL"/>
            </w:rPr>
            <w:t>12</w:t>
          </w:r>
        </w:p>
      </w:tc>
    </w:tr>
    <w:tr w:rsidR="00BE6FEF" w:rsidTr="00BE6FEF">
      <w:tc>
        <w:tcPr>
          <w:tcW w:w="6663" w:type="dxa"/>
          <w:gridSpan w:val="2"/>
          <w:vMerge/>
        </w:tcPr>
        <w:p w:rsidR="00BE6FEF" w:rsidRDefault="00BE6FEF">
          <w:pPr>
            <w:pStyle w:val="a3"/>
          </w:pPr>
        </w:p>
      </w:tc>
      <w:tc>
        <w:tcPr>
          <w:tcW w:w="1418" w:type="dxa"/>
        </w:tcPr>
        <w:p w:rsidR="00BE6FEF" w:rsidRDefault="00BE6FEF" w:rsidP="00BE6FEF">
          <w:pPr>
            <w:pStyle w:val="a3"/>
            <w:jc w:val="center"/>
          </w:pPr>
          <w:r w:rsidRPr="000D53A0">
            <w:rPr>
              <w:rFonts w:ascii="標楷體" w:eastAsia="標楷體" w:hAnsi="標楷體" w:hint="eastAsia"/>
              <w:lang w:val="pl-PL"/>
            </w:rPr>
            <w:t>版本</w:t>
          </w:r>
        </w:p>
      </w:tc>
      <w:tc>
        <w:tcPr>
          <w:tcW w:w="1984" w:type="dxa"/>
        </w:tcPr>
        <w:p w:rsidR="00BE6FEF" w:rsidRDefault="00BE6FEF" w:rsidP="00BE6FEF">
          <w:pPr>
            <w:pStyle w:val="a3"/>
            <w:jc w:val="center"/>
          </w:pPr>
          <w:r w:rsidRPr="000D53A0">
            <w:rPr>
              <w:rFonts w:eastAsia="標楷體" w:hint="eastAsia"/>
              <w:lang w:val="pl-PL"/>
            </w:rPr>
            <w:t>Rev-01</w:t>
          </w:r>
        </w:p>
      </w:tc>
    </w:tr>
    <w:tr w:rsidR="00BE6FEF" w:rsidTr="00BE6FEF">
      <w:tc>
        <w:tcPr>
          <w:tcW w:w="1277" w:type="dxa"/>
          <w:vMerge w:val="restart"/>
          <w:vAlign w:val="center"/>
        </w:tcPr>
        <w:p w:rsidR="00BE6FEF" w:rsidRPr="000D53A0" w:rsidRDefault="00BE6FEF" w:rsidP="00BE6FEF">
          <w:pPr>
            <w:jc w:val="center"/>
            <w:rPr>
              <w:rFonts w:ascii="標楷體" w:eastAsia="標楷體" w:hAnsi="標楷體"/>
            </w:rPr>
          </w:pPr>
          <w:r w:rsidRPr="000D53A0">
            <w:rPr>
              <w:rFonts w:ascii="標楷體" w:eastAsia="標楷體" w:hAnsi="標楷體" w:hint="eastAsia"/>
            </w:rPr>
            <w:t>文件名稱</w:t>
          </w:r>
        </w:p>
      </w:tc>
      <w:tc>
        <w:tcPr>
          <w:tcW w:w="5386" w:type="dxa"/>
          <w:vMerge w:val="restart"/>
          <w:vAlign w:val="center"/>
        </w:tcPr>
        <w:p w:rsidR="00BE6FEF" w:rsidRPr="00BE6FEF" w:rsidRDefault="00C92978" w:rsidP="00016C0F">
          <w:pPr>
            <w:pStyle w:val="a3"/>
            <w:jc w:val="center"/>
            <w:rPr>
              <w:sz w:val="30"/>
              <w:szCs w:val="30"/>
            </w:rPr>
          </w:pPr>
          <w:r w:rsidRPr="00C92978">
            <w:rPr>
              <w:rFonts w:ascii="Book Antiqua" w:eastAsia="標楷體" w:hAnsi="Book Antiqua" w:hint="eastAsia"/>
              <w:b/>
              <w:bCs/>
              <w:sz w:val="30"/>
              <w:szCs w:val="30"/>
            </w:rPr>
            <w:t>關係</w:t>
          </w:r>
          <w:r w:rsidR="00016C0F" w:rsidRPr="00016C0F">
            <w:rPr>
              <w:rFonts w:ascii="Book Antiqua" w:eastAsia="標楷體" w:hAnsi="Book Antiqua" w:hint="eastAsia"/>
              <w:b/>
              <w:bCs/>
              <w:sz w:val="30"/>
              <w:szCs w:val="30"/>
            </w:rPr>
            <w:t>人</w:t>
          </w:r>
          <w:r w:rsidRPr="00C92978">
            <w:rPr>
              <w:rFonts w:ascii="Book Antiqua" w:eastAsia="標楷體" w:hAnsi="Book Antiqua" w:hint="eastAsia"/>
              <w:b/>
              <w:bCs/>
              <w:sz w:val="30"/>
              <w:szCs w:val="30"/>
            </w:rPr>
            <w:t>相互間財務業務相關作業規範</w:t>
          </w:r>
        </w:p>
      </w:tc>
      <w:tc>
        <w:tcPr>
          <w:tcW w:w="1418" w:type="dxa"/>
        </w:tcPr>
        <w:p w:rsidR="00BE6FEF" w:rsidRDefault="00BE6FEF" w:rsidP="00BE6FEF">
          <w:pPr>
            <w:pStyle w:val="a3"/>
            <w:jc w:val="center"/>
          </w:pPr>
          <w:r w:rsidRPr="000D53A0">
            <w:rPr>
              <w:rFonts w:ascii="標楷體" w:eastAsia="標楷體" w:hAnsi="標楷體" w:hint="eastAsia"/>
            </w:rPr>
            <w:t>制訂部門</w:t>
          </w:r>
        </w:p>
      </w:tc>
      <w:tc>
        <w:tcPr>
          <w:tcW w:w="1984" w:type="dxa"/>
        </w:tcPr>
        <w:p w:rsidR="00BE6FEF" w:rsidRDefault="006F0691" w:rsidP="00BE6FEF">
          <w:pPr>
            <w:pStyle w:val="a3"/>
            <w:jc w:val="center"/>
          </w:pPr>
          <w:r>
            <w:rPr>
              <w:rFonts w:eastAsia="標楷體" w:hint="eastAsia"/>
              <w:lang w:val="pl-PL"/>
            </w:rPr>
            <w:t>財</w:t>
          </w:r>
          <w:r w:rsidR="00BE6FEF" w:rsidRPr="000D53A0">
            <w:rPr>
              <w:rFonts w:eastAsia="標楷體" w:hint="eastAsia"/>
              <w:lang w:val="pl-PL"/>
            </w:rPr>
            <w:t>務單位</w:t>
          </w:r>
        </w:p>
      </w:tc>
    </w:tr>
    <w:tr w:rsidR="00BE6FEF" w:rsidTr="00BE6FEF">
      <w:tc>
        <w:tcPr>
          <w:tcW w:w="1277" w:type="dxa"/>
          <w:vMerge/>
        </w:tcPr>
        <w:p w:rsidR="00BE6FEF" w:rsidRDefault="00BE6FEF">
          <w:pPr>
            <w:pStyle w:val="a3"/>
          </w:pPr>
        </w:p>
      </w:tc>
      <w:tc>
        <w:tcPr>
          <w:tcW w:w="5386" w:type="dxa"/>
          <w:vMerge/>
        </w:tcPr>
        <w:p w:rsidR="00BE6FEF" w:rsidRDefault="00BE6FEF">
          <w:pPr>
            <w:pStyle w:val="a3"/>
          </w:pPr>
        </w:p>
      </w:tc>
      <w:tc>
        <w:tcPr>
          <w:tcW w:w="1418" w:type="dxa"/>
        </w:tcPr>
        <w:p w:rsidR="00BE6FEF" w:rsidRDefault="00BE6FEF" w:rsidP="00BE6FEF">
          <w:pPr>
            <w:pStyle w:val="a3"/>
            <w:jc w:val="center"/>
          </w:pPr>
          <w:r w:rsidRPr="000D53A0">
            <w:rPr>
              <w:rFonts w:ascii="標楷體" w:eastAsia="標楷體" w:hAnsi="標楷體" w:hint="eastAsia"/>
            </w:rPr>
            <w:t>頁數</w:t>
          </w:r>
        </w:p>
      </w:tc>
      <w:tc>
        <w:tcPr>
          <w:tcW w:w="1984" w:type="dxa"/>
        </w:tcPr>
        <w:p w:rsidR="00BE6FEF" w:rsidRDefault="00BE6FEF" w:rsidP="00BE6FEF">
          <w:pPr>
            <w:pStyle w:val="a3"/>
            <w:jc w:val="center"/>
          </w:pPr>
          <w:r w:rsidRPr="000D53A0">
            <w:rPr>
              <w:rFonts w:eastAsia="標楷體"/>
            </w:rPr>
            <w:t>第</w:t>
          </w:r>
          <w:r w:rsidRPr="000D53A0">
            <w:fldChar w:fldCharType="begin"/>
          </w:r>
          <w:r w:rsidRPr="000D53A0">
            <w:instrText xml:space="preserve"> PAGE </w:instrText>
          </w:r>
          <w:r w:rsidRPr="000D53A0">
            <w:fldChar w:fldCharType="separate"/>
          </w:r>
          <w:r w:rsidR="00AF0251">
            <w:rPr>
              <w:noProof/>
            </w:rPr>
            <w:t>1</w:t>
          </w:r>
          <w:r w:rsidRPr="000D53A0">
            <w:fldChar w:fldCharType="end"/>
          </w:r>
          <w:r w:rsidRPr="000D53A0">
            <w:rPr>
              <w:rFonts w:eastAsia="標楷體"/>
            </w:rPr>
            <w:t>頁，共</w:t>
          </w:r>
          <w:fldSimple w:instr=" NUMPAGES ">
            <w:r w:rsidR="00AF0251">
              <w:rPr>
                <w:noProof/>
              </w:rPr>
              <w:t>8</w:t>
            </w:r>
          </w:fldSimple>
          <w:r w:rsidRPr="000D53A0">
            <w:rPr>
              <w:rFonts w:eastAsia="標楷體"/>
            </w:rPr>
            <w:t>頁</w:t>
          </w:r>
        </w:p>
      </w:tc>
    </w:tr>
  </w:tbl>
  <w:p w:rsidR="00BE6FEF" w:rsidRDefault="00BE6FE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14E7"/>
    <w:multiLevelType w:val="multilevel"/>
    <w:tmpl w:val="49E89C96"/>
    <w:lvl w:ilvl="0">
      <w:start w:val="1"/>
      <w:numFmt w:val="decimal"/>
      <w:lvlText w:val="%1."/>
      <w:lvlJc w:val="left"/>
      <w:pPr>
        <w:ind w:left="480" w:hanging="480"/>
      </w:pPr>
      <w:rPr>
        <w:rFonts w:hint="eastAsia"/>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3E235F2"/>
    <w:multiLevelType w:val="hybridMultilevel"/>
    <w:tmpl w:val="0790855A"/>
    <w:lvl w:ilvl="0" w:tplc="7166E1B8">
      <w:start w:val="1"/>
      <w:numFmt w:val="decimal"/>
      <w:lvlText w:val="%1."/>
      <w:lvlJc w:val="left"/>
      <w:pPr>
        <w:ind w:left="480" w:hanging="480"/>
      </w:pPr>
      <w:rPr>
        <w:rFonts w:hint="eastAsia"/>
      </w:rPr>
    </w:lvl>
    <w:lvl w:ilvl="1" w:tplc="83DC378A">
      <w:start w:val="1"/>
      <w:numFmt w:val="decimal"/>
      <w:lvlText w:val="6.%2"/>
      <w:lvlJc w:val="left"/>
      <w:pPr>
        <w:ind w:left="960" w:hanging="480"/>
      </w:pPr>
      <w:rPr>
        <w:rFonts w:hint="eastAsia"/>
      </w:rPr>
    </w:lvl>
    <w:lvl w:ilvl="2" w:tplc="CA76A908">
      <w:start w:val="1"/>
      <w:numFmt w:val="decimal"/>
      <w:lvlText w:val="5.2.%3"/>
      <w:lvlJc w:val="left"/>
      <w:pPr>
        <w:ind w:left="1440" w:hanging="480"/>
      </w:pPr>
      <w:rPr>
        <w:rFonts w:hint="eastAsia"/>
      </w:rPr>
    </w:lvl>
    <w:lvl w:ilvl="3" w:tplc="C99AB10C">
      <w:start w:val="1"/>
      <w:numFmt w:val="decimal"/>
      <w:lvlText w:val="6.3.%4"/>
      <w:lvlJc w:val="left"/>
      <w:pPr>
        <w:ind w:left="1920" w:hanging="480"/>
      </w:pPr>
      <w:rPr>
        <w:rFonts w:hint="eastAsia"/>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E512F7"/>
    <w:multiLevelType w:val="hybridMultilevel"/>
    <w:tmpl w:val="E84649B4"/>
    <w:lvl w:ilvl="0" w:tplc="0409000F">
      <w:start w:val="1"/>
      <w:numFmt w:val="decimal"/>
      <w:lvlText w:val="%1."/>
      <w:lvlJc w:val="left"/>
      <w:pPr>
        <w:ind w:left="480" w:hanging="480"/>
      </w:pPr>
      <w:rPr>
        <w:rFonts w:hint="default"/>
      </w:rPr>
    </w:lvl>
    <w:lvl w:ilvl="1" w:tplc="83DC378A">
      <w:start w:val="1"/>
      <w:numFmt w:val="decimal"/>
      <w:lvlText w:val="6.%2"/>
      <w:lvlJc w:val="left"/>
      <w:pPr>
        <w:ind w:left="960" w:hanging="480"/>
      </w:pPr>
      <w:rPr>
        <w:rFonts w:hint="eastAsia"/>
      </w:rPr>
    </w:lvl>
    <w:lvl w:ilvl="2" w:tplc="FAD0904A">
      <w:start w:val="1"/>
      <w:numFmt w:val="decimal"/>
      <w:lvlText w:val="5.3.%3"/>
      <w:lvlJc w:val="left"/>
      <w:pPr>
        <w:ind w:left="1440" w:hanging="480"/>
      </w:pPr>
      <w:rPr>
        <w:rFonts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A35E0C"/>
    <w:multiLevelType w:val="hybridMultilevel"/>
    <w:tmpl w:val="6804FA22"/>
    <w:lvl w:ilvl="0" w:tplc="BFCEFD1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F60FCA"/>
    <w:multiLevelType w:val="hybridMultilevel"/>
    <w:tmpl w:val="DDC8F872"/>
    <w:lvl w:ilvl="0" w:tplc="CA00E8C2">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F97A0C"/>
    <w:multiLevelType w:val="hybridMultilevel"/>
    <w:tmpl w:val="D86C4304"/>
    <w:lvl w:ilvl="0" w:tplc="83DC378A">
      <w:start w:val="1"/>
      <w:numFmt w:val="decimal"/>
      <w:lvlText w:val="6.%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0C107861"/>
    <w:multiLevelType w:val="hybridMultilevel"/>
    <w:tmpl w:val="D64CD1F4"/>
    <w:lvl w:ilvl="0" w:tplc="B6E2A492">
      <w:start w:val="1"/>
      <w:numFmt w:val="decimal"/>
      <w:lvlText w:val="7.%1"/>
      <w:lvlJc w:val="left"/>
      <w:pPr>
        <w:ind w:left="480" w:hanging="480"/>
      </w:pPr>
      <w:rPr>
        <w:rFonts w:hint="eastAsia"/>
      </w:rPr>
    </w:lvl>
    <w:lvl w:ilvl="1" w:tplc="B6E2A492">
      <w:start w:val="1"/>
      <w:numFmt w:val="decimal"/>
      <w:lvlText w:val="7.%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70402C"/>
    <w:multiLevelType w:val="hybridMultilevel"/>
    <w:tmpl w:val="C5DC07AA"/>
    <w:lvl w:ilvl="0" w:tplc="68BED4C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7B4D6F"/>
    <w:multiLevelType w:val="hybridMultilevel"/>
    <w:tmpl w:val="D31EB5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AF2D4F"/>
    <w:multiLevelType w:val="hybridMultilevel"/>
    <w:tmpl w:val="4A422FDE"/>
    <w:lvl w:ilvl="0" w:tplc="C226E038">
      <w:start w:val="1"/>
      <w:numFmt w:val="decimal"/>
      <w:lvlText w:val="6.%1"/>
      <w:lvlJc w:val="left"/>
      <w:pPr>
        <w:ind w:left="960" w:hanging="480"/>
      </w:pPr>
      <w:rPr>
        <w:rFonts w:hint="eastAsia"/>
      </w:rPr>
    </w:lvl>
    <w:lvl w:ilvl="1" w:tplc="83DC378A">
      <w:start w:val="1"/>
      <w:numFmt w:val="decimal"/>
      <w:lvlText w:val="6.%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9E94828"/>
    <w:multiLevelType w:val="hybridMultilevel"/>
    <w:tmpl w:val="02A6E562"/>
    <w:lvl w:ilvl="0" w:tplc="8CC2743E">
      <w:start w:val="1"/>
      <w:numFmt w:val="decimal"/>
      <w:lvlText w:val="5.%1"/>
      <w:lvlJc w:val="left"/>
      <w:pPr>
        <w:ind w:left="960" w:hanging="480"/>
      </w:pPr>
      <w:rPr>
        <w:rFonts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ACB0552"/>
    <w:multiLevelType w:val="hybridMultilevel"/>
    <w:tmpl w:val="8BACC68A"/>
    <w:lvl w:ilvl="0" w:tplc="BEDECA0E">
      <w:start w:val="1"/>
      <w:numFmt w:val="decimal"/>
      <w:lvlText w:val="4.%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D934160"/>
    <w:multiLevelType w:val="hybridMultilevel"/>
    <w:tmpl w:val="0E286EB2"/>
    <w:lvl w:ilvl="0" w:tplc="8D0EBD4E">
      <w:start w:val="1"/>
      <w:numFmt w:val="decimal"/>
      <w:lvlText w:val="6.%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33617F4"/>
    <w:multiLevelType w:val="hybridMultilevel"/>
    <w:tmpl w:val="0832ACC4"/>
    <w:lvl w:ilvl="0" w:tplc="ECE25A34">
      <w:start w:val="1"/>
      <w:numFmt w:val="decimal"/>
      <w:lvlText w:val="6.%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5682EA9"/>
    <w:multiLevelType w:val="hybridMultilevel"/>
    <w:tmpl w:val="9F4E1374"/>
    <w:lvl w:ilvl="0" w:tplc="315E5EFE">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5" w15:restartNumberingAfterBreak="0">
    <w:nsid w:val="264E2CC5"/>
    <w:multiLevelType w:val="hybridMultilevel"/>
    <w:tmpl w:val="9B5A5354"/>
    <w:lvl w:ilvl="0" w:tplc="0409000F">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525118"/>
    <w:multiLevelType w:val="hybridMultilevel"/>
    <w:tmpl w:val="F03CBF80"/>
    <w:lvl w:ilvl="0" w:tplc="5D96BE88">
      <w:start w:val="1"/>
      <w:numFmt w:val="decimal"/>
      <w:lvlText w:val="5.%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67B082F"/>
    <w:multiLevelType w:val="hybridMultilevel"/>
    <w:tmpl w:val="2506BACE"/>
    <w:lvl w:ilvl="0" w:tplc="7166E1B8">
      <w:start w:val="1"/>
      <w:numFmt w:val="decimal"/>
      <w:lvlText w:val="%1."/>
      <w:lvlJc w:val="left"/>
      <w:pPr>
        <w:ind w:left="480" w:hanging="480"/>
      </w:pPr>
      <w:rPr>
        <w:rFonts w:hint="eastAsia"/>
      </w:rPr>
    </w:lvl>
    <w:lvl w:ilvl="1" w:tplc="1A2C4DB2">
      <w:start w:val="1"/>
      <w:numFmt w:val="decimal"/>
      <w:lvlText w:val="3.%2"/>
      <w:lvlJc w:val="left"/>
      <w:pPr>
        <w:ind w:left="960" w:hanging="480"/>
      </w:pPr>
      <w:rPr>
        <w:rFonts w:hint="eastAsia"/>
      </w:rPr>
    </w:lvl>
    <w:lvl w:ilvl="2" w:tplc="C99AB10C">
      <w:start w:val="1"/>
      <w:numFmt w:val="decimal"/>
      <w:lvlText w:val="6.3.%3"/>
      <w:lvlJc w:val="left"/>
      <w:pPr>
        <w:ind w:left="1440" w:hanging="480"/>
      </w:pPr>
      <w:rPr>
        <w:rFonts w:hint="eastAsia"/>
      </w:rPr>
    </w:lvl>
    <w:lvl w:ilvl="3" w:tplc="C99AB10C">
      <w:start w:val="1"/>
      <w:numFmt w:val="decimal"/>
      <w:lvlText w:val="6.3.%4"/>
      <w:lvlJc w:val="left"/>
      <w:pPr>
        <w:ind w:left="1920" w:hanging="480"/>
      </w:pPr>
      <w:rPr>
        <w:rFonts w:hint="eastAsia"/>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69A21A0"/>
    <w:multiLevelType w:val="hybridMultilevel"/>
    <w:tmpl w:val="4C585302"/>
    <w:lvl w:ilvl="0" w:tplc="B6E2A492">
      <w:start w:val="1"/>
      <w:numFmt w:val="decimal"/>
      <w:lvlText w:val="7.%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27855C54"/>
    <w:multiLevelType w:val="hybridMultilevel"/>
    <w:tmpl w:val="398E6DBE"/>
    <w:lvl w:ilvl="0" w:tplc="0409000F">
      <w:start w:val="1"/>
      <w:numFmt w:val="decimal"/>
      <w:lvlText w:val="%1."/>
      <w:lvlJc w:val="left"/>
      <w:pPr>
        <w:ind w:left="480" w:hanging="480"/>
      </w:pPr>
      <w:rPr>
        <w:rFonts w:hint="eastAsia"/>
      </w:rPr>
    </w:lvl>
    <w:lvl w:ilvl="1" w:tplc="28E8CFF4">
      <w:start w:val="1"/>
      <w:numFmt w:val="decimal"/>
      <w:lvlText w:val="6.%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8323F77"/>
    <w:multiLevelType w:val="hybridMultilevel"/>
    <w:tmpl w:val="1F5C7846"/>
    <w:lvl w:ilvl="0" w:tplc="0409000F">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8E80A64"/>
    <w:multiLevelType w:val="multilevel"/>
    <w:tmpl w:val="A8126BCE"/>
    <w:lvl w:ilvl="0">
      <w:start w:val="5"/>
      <w:numFmt w:val="decimal"/>
      <w:lvlText w:val="%1"/>
      <w:lvlJc w:val="left"/>
      <w:pPr>
        <w:ind w:left="600" w:hanging="600"/>
      </w:pPr>
      <w:rPr>
        <w:rFonts w:hint="default"/>
      </w:rPr>
    </w:lvl>
    <w:lvl w:ilvl="1">
      <w:start w:val="8"/>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296001CB"/>
    <w:multiLevelType w:val="hybridMultilevel"/>
    <w:tmpl w:val="CAA233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B3435D4"/>
    <w:multiLevelType w:val="hybridMultilevel"/>
    <w:tmpl w:val="97F64C7E"/>
    <w:lvl w:ilvl="0" w:tplc="BEDECA0E">
      <w:start w:val="1"/>
      <w:numFmt w:val="decimal"/>
      <w:lvlText w:val="4.%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31374301"/>
    <w:multiLevelType w:val="hybridMultilevel"/>
    <w:tmpl w:val="7310A2DA"/>
    <w:lvl w:ilvl="0" w:tplc="0409000F">
      <w:start w:val="1"/>
      <w:numFmt w:val="decimal"/>
      <w:lvlText w:val="%1."/>
      <w:lvlJc w:val="left"/>
      <w:pPr>
        <w:ind w:left="480" w:hanging="480"/>
      </w:pPr>
      <w:rPr>
        <w:rFonts w:hint="default"/>
      </w:rPr>
    </w:lvl>
    <w:lvl w:ilvl="1" w:tplc="18F01268">
      <w:start w:val="1"/>
      <w:numFmt w:val="decimal"/>
      <w:lvlText w:val="5.%2"/>
      <w:lvlJc w:val="left"/>
      <w:pPr>
        <w:ind w:left="960" w:hanging="480"/>
      </w:pPr>
      <w:rPr>
        <w:rFonts w:hint="eastAsia"/>
      </w:rPr>
    </w:lvl>
    <w:lvl w:ilvl="2" w:tplc="83DC378A">
      <w:start w:val="1"/>
      <w:numFmt w:val="decimal"/>
      <w:lvlText w:val="6.%3"/>
      <w:lvlJc w:val="left"/>
      <w:pPr>
        <w:ind w:left="1440" w:hanging="480"/>
      </w:pPr>
      <w:rPr>
        <w:rFonts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13C7E50"/>
    <w:multiLevelType w:val="hybridMultilevel"/>
    <w:tmpl w:val="FC5634EC"/>
    <w:lvl w:ilvl="0" w:tplc="8B10633A">
      <w:start w:val="1"/>
      <w:numFmt w:val="decimal"/>
      <w:lvlText w:val="4.%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368F49CB"/>
    <w:multiLevelType w:val="hybridMultilevel"/>
    <w:tmpl w:val="785CF716"/>
    <w:lvl w:ilvl="0" w:tplc="7166E1B8">
      <w:start w:val="1"/>
      <w:numFmt w:val="decimal"/>
      <w:lvlText w:val="%1."/>
      <w:lvlJc w:val="left"/>
      <w:pPr>
        <w:ind w:left="480" w:hanging="480"/>
      </w:pPr>
      <w:rPr>
        <w:rFonts w:hint="eastAsia"/>
      </w:rPr>
    </w:lvl>
    <w:lvl w:ilvl="1" w:tplc="C4E890E2">
      <w:start w:val="1"/>
      <w:numFmt w:val="decimal"/>
      <w:lvlText w:val="4.%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6D82E6E"/>
    <w:multiLevelType w:val="hybridMultilevel"/>
    <w:tmpl w:val="E2684776"/>
    <w:lvl w:ilvl="0" w:tplc="B6E2A492">
      <w:start w:val="1"/>
      <w:numFmt w:val="decimal"/>
      <w:lvlText w:val="7.%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382E7FAD"/>
    <w:multiLevelType w:val="hybridMultilevel"/>
    <w:tmpl w:val="3C18EA9C"/>
    <w:lvl w:ilvl="0" w:tplc="0409000F">
      <w:start w:val="1"/>
      <w:numFmt w:val="decimal"/>
      <w:lvlText w:val="%1."/>
      <w:lvlJc w:val="left"/>
      <w:pPr>
        <w:ind w:left="480" w:hanging="480"/>
      </w:pPr>
      <w:rPr>
        <w:rFonts w:hint="default"/>
      </w:rPr>
    </w:lvl>
    <w:lvl w:ilvl="1" w:tplc="BEDECA0E">
      <w:start w:val="1"/>
      <w:numFmt w:val="decimal"/>
      <w:lvlText w:val="4.%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9D30A09"/>
    <w:multiLevelType w:val="hybridMultilevel"/>
    <w:tmpl w:val="A0CEA2F2"/>
    <w:lvl w:ilvl="0" w:tplc="7166E1B8">
      <w:start w:val="1"/>
      <w:numFmt w:val="decimal"/>
      <w:lvlText w:val="%1."/>
      <w:lvlJc w:val="left"/>
      <w:pPr>
        <w:ind w:left="480" w:hanging="480"/>
      </w:pPr>
      <w:rPr>
        <w:rFonts w:hint="eastAsia"/>
      </w:rPr>
    </w:lvl>
    <w:lvl w:ilvl="1" w:tplc="06C4D8C2">
      <w:start w:val="1"/>
      <w:numFmt w:val="decimal"/>
      <w:lvlText w:val="5.%2"/>
      <w:lvlJc w:val="left"/>
      <w:pPr>
        <w:ind w:left="960" w:hanging="480"/>
      </w:pPr>
      <w:rPr>
        <w:rFonts w:hint="eastAsia"/>
      </w:rPr>
    </w:lvl>
    <w:lvl w:ilvl="2" w:tplc="E29053F0">
      <w:start w:val="1"/>
      <w:numFmt w:val="decimal"/>
      <w:lvlText w:val="5.3.%3"/>
      <w:lvlJc w:val="left"/>
      <w:pPr>
        <w:ind w:left="1440" w:hanging="480"/>
      </w:pPr>
      <w:rPr>
        <w:rFonts w:hint="eastAsia"/>
      </w:rPr>
    </w:lvl>
    <w:lvl w:ilvl="3" w:tplc="C99AB10C">
      <w:start w:val="1"/>
      <w:numFmt w:val="decimal"/>
      <w:lvlText w:val="6.3.%4"/>
      <w:lvlJc w:val="left"/>
      <w:pPr>
        <w:ind w:left="1920" w:hanging="480"/>
      </w:pPr>
      <w:rPr>
        <w:rFonts w:hint="eastAsia"/>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B5E4396"/>
    <w:multiLevelType w:val="hybridMultilevel"/>
    <w:tmpl w:val="E0EC4BA6"/>
    <w:lvl w:ilvl="0" w:tplc="2A2C2528">
      <w:start w:val="1"/>
      <w:numFmt w:val="decimal"/>
      <w:lvlText w:val="6.%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3C460494"/>
    <w:multiLevelType w:val="hybridMultilevel"/>
    <w:tmpl w:val="7C9AAF9C"/>
    <w:lvl w:ilvl="0" w:tplc="BEDECA0E">
      <w:start w:val="1"/>
      <w:numFmt w:val="decimal"/>
      <w:lvlText w:val="4.%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3DB10030"/>
    <w:multiLevelType w:val="hybridMultilevel"/>
    <w:tmpl w:val="64D22752"/>
    <w:lvl w:ilvl="0" w:tplc="2326B40A">
      <w:start w:val="1"/>
      <w:numFmt w:val="decimal"/>
      <w:lvlText w:val="6.%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4116294F"/>
    <w:multiLevelType w:val="hybridMultilevel"/>
    <w:tmpl w:val="CA720AD4"/>
    <w:lvl w:ilvl="0" w:tplc="BEDECA0E">
      <w:start w:val="1"/>
      <w:numFmt w:val="decimal"/>
      <w:lvlText w:val="4.%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4CB90F23"/>
    <w:multiLevelType w:val="hybridMultilevel"/>
    <w:tmpl w:val="C6C034DA"/>
    <w:lvl w:ilvl="0" w:tplc="B6E2A492">
      <w:start w:val="1"/>
      <w:numFmt w:val="decimal"/>
      <w:lvlText w:val="7.%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4EFB4C06"/>
    <w:multiLevelType w:val="multilevel"/>
    <w:tmpl w:val="C94E5186"/>
    <w:lvl w:ilvl="0">
      <w:start w:val="1"/>
      <w:numFmt w:val="decimal"/>
      <w:lvlText w:val="%1."/>
      <w:lvlJc w:val="left"/>
      <w:pPr>
        <w:ind w:left="480" w:hanging="48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50094083"/>
    <w:multiLevelType w:val="hybridMultilevel"/>
    <w:tmpl w:val="04C66976"/>
    <w:lvl w:ilvl="0" w:tplc="6604FD32">
      <w:start w:val="1"/>
      <w:numFmt w:val="decimal"/>
      <w:lvlText w:val="6.%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50AE713B"/>
    <w:multiLevelType w:val="hybridMultilevel"/>
    <w:tmpl w:val="F0966034"/>
    <w:lvl w:ilvl="0" w:tplc="83DC378A">
      <w:start w:val="1"/>
      <w:numFmt w:val="decimal"/>
      <w:lvlText w:val="6.%1"/>
      <w:lvlJc w:val="left"/>
      <w:pPr>
        <w:ind w:left="960" w:hanging="480"/>
      </w:pPr>
      <w:rPr>
        <w:rFonts w:hint="eastAsia"/>
      </w:rPr>
    </w:lvl>
    <w:lvl w:ilvl="1" w:tplc="C704954C">
      <w:start w:val="1"/>
      <w:numFmt w:val="decimal"/>
      <w:lvlText w:val="5.2.%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53522CBA"/>
    <w:multiLevelType w:val="multilevel"/>
    <w:tmpl w:val="C6E834E8"/>
    <w:lvl w:ilvl="0">
      <w:start w:val="1"/>
      <w:numFmt w:val="decimal"/>
      <w:lvlText w:val="%1"/>
      <w:lvlJc w:val="left"/>
      <w:pPr>
        <w:ind w:left="425"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9" w15:restartNumberingAfterBreak="0">
    <w:nsid w:val="55B5431C"/>
    <w:multiLevelType w:val="hybridMultilevel"/>
    <w:tmpl w:val="0C2AE556"/>
    <w:lvl w:ilvl="0" w:tplc="E24896B4">
      <w:start w:val="1"/>
      <w:numFmt w:val="decimal"/>
      <w:lvlText w:val="5.%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576923A1"/>
    <w:multiLevelType w:val="hybridMultilevel"/>
    <w:tmpl w:val="C3FE9F3E"/>
    <w:lvl w:ilvl="0" w:tplc="698EF04A">
      <w:start w:val="1"/>
      <w:numFmt w:val="decimal"/>
      <w:lvlText w:val="5.3.%1"/>
      <w:lvlJc w:val="left"/>
      <w:pPr>
        <w:ind w:left="3360" w:hanging="480"/>
      </w:pPr>
      <w:rPr>
        <w:rFonts w:hint="eastAsia"/>
      </w:rPr>
    </w:lvl>
    <w:lvl w:ilvl="1" w:tplc="04090019" w:tentative="1">
      <w:start w:val="1"/>
      <w:numFmt w:val="ideographTraditional"/>
      <w:lvlText w:val="%2、"/>
      <w:lvlJc w:val="left"/>
      <w:pPr>
        <w:ind w:left="960" w:hanging="480"/>
      </w:pPr>
    </w:lvl>
    <w:lvl w:ilvl="2" w:tplc="0DEA1696">
      <w:start w:val="1"/>
      <w:numFmt w:val="decimal"/>
      <w:lvlText w:val="5.6.%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8631966"/>
    <w:multiLevelType w:val="hybridMultilevel"/>
    <w:tmpl w:val="AD1A4D76"/>
    <w:lvl w:ilvl="0" w:tplc="490CB12E">
      <w:start w:val="1"/>
      <w:numFmt w:val="decimal"/>
      <w:lvlText w:val="7.%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5A1A5428"/>
    <w:multiLevelType w:val="hybridMultilevel"/>
    <w:tmpl w:val="B2F04138"/>
    <w:lvl w:ilvl="0" w:tplc="0409000F">
      <w:start w:val="1"/>
      <w:numFmt w:val="decimal"/>
      <w:lvlText w:val="%1."/>
      <w:lvlJc w:val="left"/>
      <w:pPr>
        <w:ind w:left="480" w:hanging="480"/>
      </w:pPr>
      <w:rPr>
        <w:rFonts w:hint="default"/>
      </w:rPr>
    </w:lvl>
    <w:lvl w:ilvl="1" w:tplc="C4D0D59E">
      <w:start w:val="1"/>
      <w:numFmt w:val="decimal"/>
      <w:lvlText w:val="6.%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C667413"/>
    <w:multiLevelType w:val="hybridMultilevel"/>
    <w:tmpl w:val="619C030A"/>
    <w:lvl w:ilvl="0" w:tplc="ED383A50">
      <w:start w:val="1"/>
      <w:numFmt w:val="decimal"/>
      <w:lvlText w:val="5.%1"/>
      <w:lvlJc w:val="left"/>
      <w:pPr>
        <w:ind w:left="960" w:hanging="480"/>
      </w:pPr>
      <w:rPr>
        <w:rFonts w:hint="eastAsia"/>
      </w:rPr>
    </w:lvl>
    <w:lvl w:ilvl="1" w:tplc="83DC378A">
      <w:start w:val="1"/>
      <w:numFmt w:val="decimal"/>
      <w:lvlText w:val="6.%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5C864EF4"/>
    <w:multiLevelType w:val="multilevel"/>
    <w:tmpl w:val="5908FFA6"/>
    <w:lvl w:ilvl="0">
      <w:start w:val="1"/>
      <w:numFmt w:val="decimal"/>
      <w:lvlText w:val="%1."/>
      <w:lvlJc w:val="left"/>
      <w:pPr>
        <w:ind w:left="480" w:hanging="48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5" w15:restartNumberingAfterBreak="0">
    <w:nsid w:val="62791789"/>
    <w:multiLevelType w:val="hybridMultilevel"/>
    <w:tmpl w:val="37B800EA"/>
    <w:lvl w:ilvl="0" w:tplc="0409000F">
      <w:start w:val="1"/>
      <w:numFmt w:val="decimal"/>
      <w:lvlText w:val="%1."/>
      <w:lvlJc w:val="left"/>
      <w:pPr>
        <w:ind w:left="480" w:hanging="480"/>
      </w:pPr>
      <w:rPr>
        <w:rFonts w:hint="default"/>
      </w:rPr>
    </w:lvl>
    <w:lvl w:ilvl="1" w:tplc="B6E2A492">
      <w:start w:val="1"/>
      <w:numFmt w:val="decimal"/>
      <w:lvlText w:val="7.%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38065E2"/>
    <w:multiLevelType w:val="hybridMultilevel"/>
    <w:tmpl w:val="C9D0E3DE"/>
    <w:lvl w:ilvl="0" w:tplc="C4E890E2">
      <w:start w:val="1"/>
      <w:numFmt w:val="decimal"/>
      <w:lvlText w:val="4.%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6538530D"/>
    <w:multiLevelType w:val="hybridMultilevel"/>
    <w:tmpl w:val="AB7AF5B8"/>
    <w:lvl w:ilvl="0" w:tplc="F53EF5A6">
      <w:start w:val="1"/>
      <w:numFmt w:val="decimal"/>
      <w:lvlText w:val="5.%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8" w15:restartNumberingAfterBreak="0">
    <w:nsid w:val="67A16088"/>
    <w:multiLevelType w:val="hybridMultilevel"/>
    <w:tmpl w:val="0CAEF000"/>
    <w:lvl w:ilvl="0" w:tplc="438E2A2A">
      <w:start w:val="1"/>
      <w:numFmt w:val="decimal"/>
      <w:lvlText w:val="6.%1"/>
      <w:lvlJc w:val="left"/>
      <w:pPr>
        <w:ind w:left="960" w:hanging="480"/>
      </w:pPr>
      <w:rPr>
        <w:rFonts w:hint="eastAsia"/>
      </w:rPr>
    </w:lvl>
    <w:lvl w:ilvl="1" w:tplc="5DE8F770">
      <w:start w:val="1"/>
      <w:numFmt w:val="decimal"/>
      <w:lvlText w:val="5.%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9" w15:restartNumberingAfterBreak="0">
    <w:nsid w:val="694B20D6"/>
    <w:multiLevelType w:val="hybridMultilevel"/>
    <w:tmpl w:val="7198490A"/>
    <w:lvl w:ilvl="0" w:tplc="0409000F">
      <w:start w:val="1"/>
      <w:numFmt w:val="decimal"/>
      <w:lvlText w:val="%1."/>
      <w:lvlJc w:val="left"/>
      <w:pPr>
        <w:ind w:left="480" w:hanging="480"/>
      </w:pPr>
      <w:rPr>
        <w:rFonts w:hint="default"/>
      </w:rPr>
    </w:lvl>
    <w:lvl w:ilvl="1" w:tplc="B6E2A492">
      <w:start w:val="1"/>
      <w:numFmt w:val="decimal"/>
      <w:lvlText w:val="7.%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966399C"/>
    <w:multiLevelType w:val="hybridMultilevel"/>
    <w:tmpl w:val="D980AD0A"/>
    <w:lvl w:ilvl="0" w:tplc="A852C1EA">
      <w:start w:val="1"/>
      <w:numFmt w:val="decimal"/>
      <w:lvlText w:val="5.%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15:restartNumberingAfterBreak="0">
    <w:nsid w:val="6DA23C0B"/>
    <w:multiLevelType w:val="hybridMultilevel"/>
    <w:tmpl w:val="82BE30EA"/>
    <w:lvl w:ilvl="0" w:tplc="0409000F">
      <w:start w:val="1"/>
      <w:numFmt w:val="decimal"/>
      <w:lvlText w:val="%1."/>
      <w:lvlJc w:val="left"/>
      <w:pPr>
        <w:ind w:left="480" w:hanging="480"/>
      </w:pPr>
      <w:rPr>
        <w:rFonts w:hint="default"/>
      </w:rPr>
    </w:lvl>
    <w:lvl w:ilvl="1" w:tplc="C4E890E2">
      <w:start w:val="1"/>
      <w:numFmt w:val="decimal"/>
      <w:lvlText w:val="4.%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DBC0AA5"/>
    <w:multiLevelType w:val="multilevel"/>
    <w:tmpl w:val="F8D82314"/>
    <w:lvl w:ilvl="0">
      <w:start w:val="1"/>
      <w:numFmt w:val="decimal"/>
      <w:lvlText w:val="%1."/>
      <w:lvlJc w:val="left"/>
      <w:pPr>
        <w:ind w:left="480" w:hanging="480"/>
      </w:pPr>
      <w:rPr>
        <w:rFonts w:hint="default"/>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3" w15:restartNumberingAfterBreak="0">
    <w:nsid w:val="6E6559C5"/>
    <w:multiLevelType w:val="multilevel"/>
    <w:tmpl w:val="0C8A7C74"/>
    <w:lvl w:ilvl="0">
      <w:start w:val="1"/>
      <w:numFmt w:val="decimal"/>
      <w:lvlText w:val="%1."/>
      <w:lvlJc w:val="left"/>
      <w:pPr>
        <w:ind w:left="480" w:hanging="480"/>
      </w:p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4" w15:restartNumberingAfterBreak="0">
    <w:nsid w:val="7042712E"/>
    <w:multiLevelType w:val="hybridMultilevel"/>
    <w:tmpl w:val="34667E14"/>
    <w:lvl w:ilvl="0" w:tplc="0409000F">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12C033A"/>
    <w:multiLevelType w:val="hybridMultilevel"/>
    <w:tmpl w:val="DB863CAA"/>
    <w:lvl w:ilvl="0" w:tplc="490CB12E">
      <w:start w:val="1"/>
      <w:numFmt w:val="decimal"/>
      <w:lvlText w:val="7.%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734161FD"/>
    <w:multiLevelType w:val="hybridMultilevel"/>
    <w:tmpl w:val="3D5C3F68"/>
    <w:lvl w:ilvl="0" w:tplc="1CD4754A">
      <w:start w:val="1"/>
      <w:numFmt w:val="decimal"/>
      <w:lvlText w:val="5.%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79601F50"/>
    <w:multiLevelType w:val="hybridMultilevel"/>
    <w:tmpl w:val="78BC35A6"/>
    <w:lvl w:ilvl="0" w:tplc="B03C7092">
      <w:start w:val="1"/>
      <w:numFmt w:val="decimal"/>
      <w:lvlText w:val="5.%1"/>
      <w:lvlJc w:val="left"/>
      <w:pPr>
        <w:ind w:left="960" w:hanging="480"/>
      </w:pPr>
      <w:rPr>
        <w:rFonts w:hint="eastAsia"/>
      </w:rPr>
    </w:lvl>
    <w:lvl w:ilvl="1" w:tplc="219A6080">
      <w:start w:val="1"/>
      <w:numFmt w:val="decimal"/>
      <w:lvlText w:val="5.8.%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8" w15:restartNumberingAfterBreak="0">
    <w:nsid w:val="7ABE1831"/>
    <w:multiLevelType w:val="hybridMultilevel"/>
    <w:tmpl w:val="830AA8AE"/>
    <w:lvl w:ilvl="0" w:tplc="490CB12E">
      <w:start w:val="1"/>
      <w:numFmt w:val="decimal"/>
      <w:lvlText w:val="7.%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7B9D050C"/>
    <w:multiLevelType w:val="hybridMultilevel"/>
    <w:tmpl w:val="89F623E4"/>
    <w:lvl w:ilvl="0" w:tplc="04090015">
      <w:start w:val="1"/>
      <w:numFmt w:val="taiwaneseCountingThousand"/>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60" w15:restartNumberingAfterBreak="0">
    <w:nsid w:val="7DC25E9E"/>
    <w:multiLevelType w:val="hybridMultilevel"/>
    <w:tmpl w:val="40182C98"/>
    <w:lvl w:ilvl="0" w:tplc="302EAE62">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4"/>
  </w:num>
  <w:num w:numId="2">
    <w:abstractNumId w:val="26"/>
  </w:num>
  <w:num w:numId="3">
    <w:abstractNumId w:val="19"/>
  </w:num>
  <w:num w:numId="4">
    <w:abstractNumId w:val="29"/>
  </w:num>
  <w:num w:numId="5">
    <w:abstractNumId w:val="1"/>
  </w:num>
  <w:num w:numId="6">
    <w:abstractNumId w:val="15"/>
  </w:num>
  <w:num w:numId="7">
    <w:abstractNumId w:val="17"/>
  </w:num>
  <w:num w:numId="8">
    <w:abstractNumId w:val="28"/>
  </w:num>
  <w:num w:numId="9">
    <w:abstractNumId w:val="42"/>
  </w:num>
  <w:num w:numId="10">
    <w:abstractNumId w:val="24"/>
  </w:num>
  <w:num w:numId="11">
    <w:abstractNumId w:val="2"/>
  </w:num>
  <w:num w:numId="12">
    <w:abstractNumId w:val="45"/>
  </w:num>
  <w:num w:numId="13">
    <w:abstractNumId w:val="52"/>
  </w:num>
  <w:num w:numId="14">
    <w:abstractNumId w:val="51"/>
  </w:num>
  <w:num w:numId="15">
    <w:abstractNumId w:val="30"/>
  </w:num>
  <w:num w:numId="16">
    <w:abstractNumId w:val="50"/>
  </w:num>
  <w:num w:numId="17">
    <w:abstractNumId w:val="27"/>
  </w:num>
  <w:num w:numId="18">
    <w:abstractNumId w:val="20"/>
  </w:num>
  <w:num w:numId="19">
    <w:abstractNumId w:val="46"/>
  </w:num>
  <w:num w:numId="20">
    <w:abstractNumId w:val="5"/>
  </w:num>
  <w:num w:numId="21">
    <w:abstractNumId w:val="16"/>
  </w:num>
  <w:num w:numId="22">
    <w:abstractNumId w:val="49"/>
  </w:num>
  <w:num w:numId="23">
    <w:abstractNumId w:val="4"/>
  </w:num>
  <w:num w:numId="24">
    <w:abstractNumId w:val="13"/>
  </w:num>
  <w:num w:numId="25">
    <w:abstractNumId w:val="10"/>
  </w:num>
  <w:num w:numId="26">
    <w:abstractNumId w:val="18"/>
  </w:num>
  <w:num w:numId="27">
    <w:abstractNumId w:val="53"/>
  </w:num>
  <w:num w:numId="28">
    <w:abstractNumId w:val="31"/>
  </w:num>
  <w:num w:numId="29">
    <w:abstractNumId w:val="48"/>
  </w:num>
  <w:num w:numId="30">
    <w:abstractNumId w:val="43"/>
  </w:num>
  <w:num w:numId="31">
    <w:abstractNumId w:val="6"/>
  </w:num>
  <w:num w:numId="32">
    <w:abstractNumId w:val="44"/>
  </w:num>
  <w:num w:numId="33">
    <w:abstractNumId w:val="11"/>
  </w:num>
  <w:num w:numId="34">
    <w:abstractNumId w:val="9"/>
  </w:num>
  <w:num w:numId="35">
    <w:abstractNumId w:val="34"/>
  </w:num>
  <w:num w:numId="36">
    <w:abstractNumId w:val="47"/>
  </w:num>
  <w:num w:numId="37">
    <w:abstractNumId w:val="35"/>
  </w:num>
  <w:num w:numId="38">
    <w:abstractNumId w:val="33"/>
  </w:num>
  <w:num w:numId="39">
    <w:abstractNumId w:val="32"/>
  </w:num>
  <w:num w:numId="40">
    <w:abstractNumId w:val="57"/>
  </w:num>
  <w:num w:numId="41">
    <w:abstractNumId w:val="41"/>
  </w:num>
  <w:num w:numId="42">
    <w:abstractNumId w:val="0"/>
  </w:num>
  <w:num w:numId="43">
    <w:abstractNumId w:val="36"/>
  </w:num>
  <w:num w:numId="44">
    <w:abstractNumId w:val="39"/>
  </w:num>
  <w:num w:numId="45">
    <w:abstractNumId w:val="58"/>
  </w:num>
  <w:num w:numId="46">
    <w:abstractNumId w:val="60"/>
  </w:num>
  <w:num w:numId="47">
    <w:abstractNumId w:val="23"/>
  </w:num>
  <w:num w:numId="48">
    <w:abstractNumId w:val="12"/>
  </w:num>
  <w:num w:numId="49">
    <w:abstractNumId w:val="56"/>
  </w:num>
  <w:num w:numId="50">
    <w:abstractNumId w:val="37"/>
  </w:num>
  <w:num w:numId="51">
    <w:abstractNumId w:val="55"/>
  </w:num>
  <w:num w:numId="52">
    <w:abstractNumId w:val="40"/>
  </w:num>
  <w:num w:numId="53">
    <w:abstractNumId w:val="25"/>
  </w:num>
  <w:num w:numId="54">
    <w:abstractNumId w:val="21"/>
  </w:num>
  <w:num w:numId="55">
    <w:abstractNumId w:val="38"/>
  </w:num>
  <w:num w:numId="56">
    <w:abstractNumId w:val="22"/>
  </w:num>
  <w:num w:numId="57">
    <w:abstractNumId w:val="3"/>
  </w:num>
  <w:num w:numId="58">
    <w:abstractNumId w:val="8"/>
  </w:num>
  <w:num w:numId="59">
    <w:abstractNumId w:val="7"/>
  </w:num>
  <w:num w:numId="60">
    <w:abstractNumId w:val="59"/>
  </w:num>
  <w:num w:numId="61">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EF"/>
    <w:rsid w:val="0000795D"/>
    <w:rsid w:val="00016C0F"/>
    <w:rsid w:val="00055803"/>
    <w:rsid w:val="00056A78"/>
    <w:rsid w:val="00097F41"/>
    <w:rsid w:val="000B26B9"/>
    <w:rsid w:val="0015081B"/>
    <w:rsid w:val="001B5F84"/>
    <w:rsid w:val="00211AB0"/>
    <w:rsid w:val="002146FC"/>
    <w:rsid w:val="0024649F"/>
    <w:rsid w:val="00382712"/>
    <w:rsid w:val="00456B34"/>
    <w:rsid w:val="0046664A"/>
    <w:rsid w:val="0049472E"/>
    <w:rsid w:val="004C30A2"/>
    <w:rsid w:val="0053737E"/>
    <w:rsid w:val="00592A04"/>
    <w:rsid w:val="005A1B4C"/>
    <w:rsid w:val="005C5B55"/>
    <w:rsid w:val="0060613C"/>
    <w:rsid w:val="00634F79"/>
    <w:rsid w:val="006F0691"/>
    <w:rsid w:val="00753A68"/>
    <w:rsid w:val="00786431"/>
    <w:rsid w:val="007B12DB"/>
    <w:rsid w:val="007C051E"/>
    <w:rsid w:val="007E0B3A"/>
    <w:rsid w:val="0080330C"/>
    <w:rsid w:val="00832FFE"/>
    <w:rsid w:val="00847C53"/>
    <w:rsid w:val="00857E2D"/>
    <w:rsid w:val="00887DC0"/>
    <w:rsid w:val="009858D1"/>
    <w:rsid w:val="009B7655"/>
    <w:rsid w:val="009F4D81"/>
    <w:rsid w:val="00A14326"/>
    <w:rsid w:val="00A95AD8"/>
    <w:rsid w:val="00AE2678"/>
    <w:rsid w:val="00AF0251"/>
    <w:rsid w:val="00B63011"/>
    <w:rsid w:val="00BE6FEF"/>
    <w:rsid w:val="00C268D3"/>
    <w:rsid w:val="00C92978"/>
    <w:rsid w:val="00CD6F32"/>
    <w:rsid w:val="00D115ED"/>
    <w:rsid w:val="00D14CB9"/>
    <w:rsid w:val="00D20C37"/>
    <w:rsid w:val="00D2215B"/>
    <w:rsid w:val="00D64EDE"/>
    <w:rsid w:val="00DB483F"/>
    <w:rsid w:val="00EA7E32"/>
    <w:rsid w:val="00EF3279"/>
    <w:rsid w:val="00F10F43"/>
    <w:rsid w:val="00F12F06"/>
    <w:rsid w:val="00F31F2B"/>
    <w:rsid w:val="00F65396"/>
    <w:rsid w:val="00FA3605"/>
    <w:rsid w:val="00FB4979"/>
    <w:rsid w:val="00FE3A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57BBA"/>
  <w15:chartTrackingRefBased/>
  <w15:docId w15:val="{5166C315-8A75-440B-B9EC-696C22DB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FEF"/>
    <w:pPr>
      <w:widowControl w:val="0"/>
      <w:adjustRightInd w:val="0"/>
      <w:spacing w:line="360" w:lineRule="atLeast"/>
      <w:textAlignment w:val="baseline"/>
    </w:pPr>
    <w:rPr>
      <w:rFonts w:ascii="Times New Roman" w:eastAsia="細明體" w:hAnsi="Times New Roman" w:cs="Times New Roman"/>
      <w:kern w:val="0"/>
      <w:szCs w:val="20"/>
    </w:rPr>
  </w:style>
  <w:style w:type="paragraph" w:styleId="1">
    <w:name w:val="heading 1"/>
    <w:basedOn w:val="a"/>
    <w:next w:val="a"/>
    <w:link w:val="10"/>
    <w:uiPriority w:val="9"/>
    <w:qFormat/>
    <w:rsid w:val="0049472E"/>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FEF"/>
    <w:pPr>
      <w:tabs>
        <w:tab w:val="center" w:pos="4153"/>
        <w:tab w:val="right" w:pos="8306"/>
      </w:tabs>
      <w:snapToGrid w:val="0"/>
    </w:pPr>
    <w:rPr>
      <w:sz w:val="20"/>
    </w:rPr>
  </w:style>
  <w:style w:type="character" w:customStyle="1" w:styleId="a4">
    <w:name w:val="頁首 字元"/>
    <w:basedOn w:val="a0"/>
    <w:link w:val="a3"/>
    <w:uiPriority w:val="99"/>
    <w:rsid w:val="00BE6FEF"/>
    <w:rPr>
      <w:rFonts w:ascii="Times New Roman" w:eastAsia="細明體" w:hAnsi="Times New Roman" w:cs="Times New Roman"/>
      <w:kern w:val="0"/>
      <w:sz w:val="20"/>
      <w:szCs w:val="20"/>
    </w:rPr>
  </w:style>
  <w:style w:type="paragraph" w:styleId="a5">
    <w:name w:val="footer"/>
    <w:basedOn w:val="a"/>
    <w:link w:val="a6"/>
    <w:uiPriority w:val="99"/>
    <w:unhideWhenUsed/>
    <w:rsid w:val="00BE6FEF"/>
    <w:pPr>
      <w:tabs>
        <w:tab w:val="center" w:pos="4153"/>
        <w:tab w:val="right" w:pos="8306"/>
      </w:tabs>
      <w:snapToGrid w:val="0"/>
    </w:pPr>
    <w:rPr>
      <w:sz w:val="20"/>
    </w:rPr>
  </w:style>
  <w:style w:type="character" w:customStyle="1" w:styleId="a6">
    <w:name w:val="頁尾 字元"/>
    <w:basedOn w:val="a0"/>
    <w:link w:val="a5"/>
    <w:uiPriority w:val="99"/>
    <w:rsid w:val="00BE6FEF"/>
    <w:rPr>
      <w:rFonts w:ascii="Times New Roman" w:eastAsia="細明體" w:hAnsi="Times New Roman" w:cs="Times New Roman"/>
      <w:kern w:val="0"/>
      <w:sz w:val="20"/>
      <w:szCs w:val="20"/>
    </w:rPr>
  </w:style>
  <w:style w:type="table" w:styleId="a7">
    <w:name w:val="Table Grid"/>
    <w:basedOn w:val="a1"/>
    <w:uiPriority w:val="39"/>
    <w:rsid w:val="00BE6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9472E"/>
    <w:pPr>
      <w:ind w:leftChars="200" w:left="480"/>
    </w:pPr>
  </w:style>
  <w:style w:type="character" w:styleId="a9">
    <w:name w:val="Hyperlink"/>
    <w:uiPriority w:val="99"/>
    <w:unhideWhenUsed/>
    <w:rsid w:val="0049472E"/>
    <w:rPr>
      <w:color w:val="8F621A"/>
      <w:u w:val="single"/>
    </w:rPr>
  </w:style>
  <w:style w:type="character" w:customStyle="1" w:styleId="10">
    <w:name w:val="標題 1 字元"/>
    <w:basedOn w:val="a0"/>
    <w:link w:val="1"/>
    <w:uiPriority w:val="9"/>
    <w:rsid w:val="0049472E"/>
    <w:rPr>
      <w:rFonts w:asciiTheme="majorHAnsi" w:eastAsiaTheme="majorEastAsia" w:hAnsiTheme="majorHAnsi" w:cstheme="majorBidi"/>
      <w:b/>
      <w:bCs/>
      <w:kern w:val="52"/>
      <w:sz w:val="52"/>
      <w:szCs w:val="52"/>
    </w:rPr>
  </w:style>
  <w:style w:type="paragraph" w:styleId="aa">
    <w:name w:val="TOC Heading"/>
    <w:basedOn w:val="1"/>
    <w:next w:val="a"/>
    <w:uiPriority w:val="39"/>
    <w:unhideWhenUsed/>
    <w:qFormat/>
    <w:rsid w:val="0049472E"/>
    <w:pPr>
      <w:keepLines/>
      <w:widowControl/>
      <w:adjustRightInd/>
      <w:spacing w:before="240" w:after="0" w:line="259" w:lineRule="auto"/>
      <w:textAlignment w:val="auto"/>
      <w:outlineLvl w:val="9"/>
    </w:pPr>
    <w:rPr>
      <w:rFonts w:ascii="Calibri Light" w:eastAsia="新細明體" w:hAnsi="Calibri Light" w:cs="Times New Roman"/>
      <w:b w:val="0"/>
      <w:bCs w:val="0"/>
      <w:color w:val="2E74B5"/>
      <w:kern w:val="0"/>
      <w:sz w:val="32"/>
      <w:szCs w:val="32"/>
    </w:rPr>
  </w:style>
  <w:style w:type="paragraph" w:styleId="ab">
    <w:name w:val="Title"/>
    <w:basedOn w:val="a"/>
    <w:next w:val="a"/>
    <w:link w:val="ac"/>
    <w:uiPriority w:val="10"/>
    <w:qFormat/>
    <w:rsid w:val="0049472E"/>
    <w:pPr>
      <w:spacing w:before="240" w:after="60"/>
      <w:jc w:val="center"/>
      <w:outlineLvl w:val="0"/>
    </w:pPr>
    <w:rPr>
      <w:rFonts w:ascii="Calibri Light" w:eastAsia="新細明體" w:hAnsi="Calibri Light"/>
      <w:b/>
      <w:bCs/>
      <w:sz w:val="32"/>
      <w:szCs w:val="32"/>
    </w:rPr>
  </w:style>
  <w:style w:type="character" w:customStyle="1" w:styleId="ac">
    <w:name w:val="標題 字元"/>
    <w:basedOn w:val="a0"/>
    <w:link w:val="ab"/>
    <w:uiPriority w:val="10"/>
    <w:rsid w:val="0049472E"/>
    <w:rPr>
      <w:rFonts w:ascii="Calibri Light" w:eastAsia="新細明體" w:hAnsi="Calibri Light" w:cs="Times New Roman"/>
      <w:b/>
      <w:bCs/>
      <w:kern w:val="0"/>
      <w:sz w:val="32"/>
      <w:szCs w:val="32"/>
    </w:rPr>
  </w:style>
  <w:style w:type="paragraph" w:styleId="11">
    <w:name w:val="toc 1"/>
    <w:basedOn w:val="a"/>
    <w:next w:val="a"/>
    <w:autoRedefine/>
    <w:uiPriority w:val="39"/>
    <w:unhideWhenUsed/>
    <w:rsid w:val="0049472E"/>
    <w:pPr>
      <w:tabs>
        <w:tab w:val="right" w:leader="dot" w:pos="9736"/>
      </w:tabs>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865</Words>
  <Characters>4935</Characters>
  <Application>Microsoft Office Word</Application>
  <DocSecurity>0</DocSecurity>
  <Lines>41</Lines>
  <Paragraphs>11</Paragraphs>
  <ScaleCrop>false</ScaleCrop>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Max.Fanchiang</dc:creator>
  <cp:keywords/>
  <dc:description/>
  <cp:lastModifiedBy>Max.Fanchiang</cp:lastModifiedBy>
  <cp:revision>25</cp:revision>
  <dcterms:created xsi:type="dcterms:W3CDTF">2021-11-02T05:27:00Z</dcterms:created>
  <dcterms:modified xsi:type="dcterms:W3CDTF">2025-07-18T06:31:00Z</dcterms:modified>
</cp:coreProperties>
</file>